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8B1B" w14:textId="1C521D4E" w:rsidR="003D6395" w:rsidRPr="009A0B26" w:rsidRDefault="003D6395" w:rsidP="003D6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3564C6" w14:textId="073779C7" w:rsidR="003D6395" w:rsidRDefault="003D6395" w:rsidP="003D6395">
      <w:p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77CB7" w14:textId="563DF8AD" w:rsidR="003F7B08" w:rsidRPr="007160C2" w:rsidRDefault="003F7B08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C2">
        <w:rPr>
          <w:rFonts w:ascii="Times New Roman" w:hAnsi="Times New Roman" w:cs="Times New Roman"/>
          <w:b/>
          <w:sz w:val="24"/>
          <w:szCs w:val="24"/>
        </w:rPr>
        <w:t xml:space="preserve">DECISÃO DE IMPUGNAÇÃO AO EDITAL </w:t>
      </w:r>
    </w:p>
    <w:p w14:paraId="2279EB94" w14:textId="345DF9CB" w:rsidR="003F7B08" w:rsidRDefault="003F7B08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4AA1B" w14:textId="76EB4331" w:rsidR="003F0DE3" w:rsidRDefault="003F0DE3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DAAA8" w14:textId="77777777" w:rsidR="00482C83" w:rsidRPr="007160C2" w:rsidRDefault="00482C83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5F3DF" w14:textId="1C19E104" w:rsidR="003F7B08" w:rsidRDefault="003F7B08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b/>
          <w:bCs/>
          <w:sz w:val="24"/>
          <w:szCs w:val="24"/>
        </w:rPr>
        <w:t>PROCESSO:</w:t>
      </w:r>
      <w:r w:rsidRPr="007160C2">
        <w:rPr>
          <w:rFonts w:ascii="Times New Roman" w:hAnsi="Times New Roman" w:cs="Times New Roman"/>
          <w:sz w:val="24"/>
          <w:szCs w:val="24"/>
        </w:rPr>
        <w:t xml:space="preserve"> 750/002092/2021</w:t>
      </w:r>
    </w:p>
    <w:p w14:paraId="27DA0CA1" w14:textId="1C891F0A" w:rsidR="002A1329" w:rsidRPr="007160C2" w:rsidRDefault="002A1329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329">
        <w:rPr>
          <w:rFonts w:ascii="Times New Roman" w:hAnsi="Times New Roman" w:cs="Times New Roman"/>
          <w:b/>
          <w:sz w:val="24"/>
          <w:szCs w:val="24"/>
        </w:rPr>
        <w:t>PROCESSO DE SOLICITAÇÃO DE IMPUGNAÇÃO</w:t>
      </w:r>
      <w:r>
        <w:rPr>
          <w:rFonts w:ascii="Times New Roman" w:hAnsi="Times New Roman" w:cs="Times New Roman"/>
          <w:sz w:val="24"/>
          <w:szCs w:val="24"/>
        </w:rPr>
        <w:t>: 020/003330/2021</w:t>
      </w:r>
    </w:p>
    <w:p w14:paraId="252432B4" w14:textId="6D33DC36" w:rsidR="003F7B08" w:rsidRPr="007160C2" w:rsidRDefault="003F7B08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b/>
          <w:bCs/>
          <w:sz w:val="24"/>
          <w:szCs w:val="24"/>
        </w:rPr>
        <w:t>REFERÊNCIA:</w:t>
      </w:r>
      <w:r w:rsidRPr="007160C2">
        <w:rPr>
          <w:rFonts w:ascii="Times New Roman" w:hAnsi="Times New Roman" w:cs="Times New Roman"/>
          <w:sz w:val="24"/>
          <w:szCs w:val="24"/>
        </w:rPr>
        <w:t xml:space="preserve"> Pregão Presencial n° 017/2021</w:t>
      </w:r>
    </w:p>
    <w:p w14:paraId="0F8870E3" w14:textId="4A94A0C6" w:rsidR="003F7B08" w:rsidRPr="007160C2" w:rsidRDefault="003F7B08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b/>
          <w:bCs/>
          <w:sz w:val="24"/>
          <w:szCs w:val="24"/>
        </w:rPr>
        <w:t>OBJETO:</w:t>
      </w:r>
      <w:r w:rsidRPr="007160C2">
        <w:rPr>
          <w:rFonts w:ascii="Times New Roman" w:hAnsi="Times New Roman" w:cs="Times New Roman"/>
          <w:sz w:val="24"/>
          <w:szCs w:val="24"/>
        </w:rPr>
        <w:t xml:space="preserve"> Contratação de empresa para Apoio ao Gerenciamento do Programa Região Oceânica Sustentável – P</w:t>
      </w:r>
      <w:r w:rsidR="00B64D0B" w:rsidRPr="007160C2">
        <w:rPr>
          <w:rFonts w:ascii="Times New Roman" w:hAnsi="Times New Roman" w:cs="Times New Roman"/>
          <w:sz w:val="24"/>
          <w:szCs w:val="24"/>
        </w:rPr>
        <w:t>RO</w:t>
      </w:r>
      <w:r w:rsidRPr="007160C2">
        <w:rPr>
          <w:rFonts w:ascii="Times New Roman" w:hAnsi="Times New Roman" w:cs="Times New Roman"/>
          <w:sz w:val="24"/>
          <w:szCs w:val="24"/>
        </w:rPr>
        <w:t xml:space="preserve"> Sustentável.</w:t>
      </w:r>
    </w:p>
    <w:p w14:paraId="3DE59B7B" w14:textId="293E7A9E" w:rsidR="003F7B08" w:rsidRDefault="003F7B08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E9953" w14:textId="53945CCD" w:rsidR="00EE14D6" w:rsidRPr="007160C2" w:rsidRDefault="003F7B08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sz w:val="24"/>
          <w:szCs w:val="24"/>
        </w:rPr>
        <w:t>Trata-se de impugnação interposta pela empresa</w:t>
      </w:r>
      <w:r w:rsidR="00EE14D6" w:rsidRPr="007160C2">
        <w:rPr>
          <w:rFonts w:ascii="Times New Roman" w:hAnsi="Times New Roman" w:cs="Times New Roman"/>
          <w:sz w:val="24"/>
          <w:szCs w:val="24"/>
        </w:rPr>
        <w:t xml:space="preserve"> </w:t>
      </w:r>
      <w:r w:rsidR="00EE14D6" w:rsidRPr="007160C2">
        <w:rPr>
          <w:rFonts w:ascii="Times New Roman" w:hAnsi="Times New Roman" w:cs="Times New Roman"/>
          <w:b/>
          <w:bCs/>
          <w:sz w:val="24"/>
          <w:szCs w:val="24"/>
        </w:rPr>
        <w:t>FB TERCEIRIZAÇÃO LTDA</w:t>
      </w:r>
      <w:r w:rsidR="00EE14D6" w:rsidRPr="007160C2">
        <w:rPr>
          <w:rFonts w:ascii="Times New Roman" w:hAnsi="Times New Roman" w:cs="Times New Roman"/>
          <w:sz w:val="24"/>
          <w:szCs w:val="24"/>
        </w:rPr>
        <w:t>.</w:t>
      </w:r>
      <w:r w:rsidRPr="007160C2">
        <w:rPr>
          <w:rFonts w:ascii="Times New Roman" w:hAnsi="Times New Roman" w:cs="Times New Roman"/>
          <w:sz w:val="24"/>
          <w:szCs w:val="24"/>
        </w:rPr>
        <w:t>, inscrita no CNPJ sob o nº</w:t>
      </w:r>
      <w:r w:rsidR="00EE14D6" w:rsidRPr="007160C2">
        <w:rPr>
          <w:rFonts w:ascii="Times New Roman" w:hAnsi="Times New Roman" w:cs="Times New Roman"/>
          <w:sz w:val="24"/>
          <w:szCs w:val="24"/>
        </w:rPr>
        <w:t xml:space="preserve"> 12.313.874/0001-88</w:t>
      </w:r>
      <w:r w:rsidRPr="007160C2">
        <w:rPr>
          <w:rFonts w:ascii="Times New Roman" w:hAnsi="Times New Roman" w:cs="Times New Roman"/>
          <w:sz w:val="24"/>
          <w:szCs w:val="24"/>
        </w:rPr>
        <w:t>, com fundamento</w:t>
      </w:r>
      <w:r w:rsidR="00EE14D6" w:rsidRPr="007160C2">
        <w:rPr>
          <w:rFonts w:ascii="Times New Roman" w:hAnsi="Times New Roman" w:cs="Times New Roman"/>
          <w:sz w:val="24"/>
          <w:szCs w:val="24"/>
        </w:rPr>
        <w:t xml:space="preserve"> no Art. 12 do ANEXO I, do Decreto Federal nº 3.555/00 c/</w:t>
      </w:r>
      <w:proofErr w:type="gramStart"/>
      <w:r w:rsidR="00EE14D6" w:rsidRPr="007160C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EE14D6" w:rsidRPr="007160C2">
        <w:rPr>
          <w:rFonts w:ascii="Times New Roman" w:hAnsi="Times New Roman" w:cs="Times New Roman"/>
          <w:sz w:val="24"/>
          <w:szCs w:val="24"/>
        </w:rPr>
        <w:t xml:space="preserve"> o subitem 1.5, do Edital</w:t>
      </w:r>
      <w:r w:rsidRPr="007160C2">
        <w:rPr>
          <w:rFonts w:ascii="Times New Roman" w:hAnsi="Times New Roman" w:cs="Times New Roman"/>
          <w:sz w:val="24"/>
          <w:szCs w:val="24"/>
        </w:rPr>
        <w:t xml:space="preserve">, </w:t>
      </w:r>
      <w:r w:rsidR="00F01012" w:rsidRPr="007160C2">
        <w:rPr>
          <w:rFonts w:ascii="Times New Roman" w:hAnsi="Times New Roman" w:cs="Times New Roman"/>
          <w:sz w:val="24"/>
          <w:szCs w:val="24"/>
        </w:rPr>
        <w:t xml:space="preserve">que </w:t>
      </w:r>
      <w:r w:rsidRPr="007160C2">
        <w:rPr>
          <w:rFonts w:ascii="Times New Roman" w:hAnsi="Times New Roman" w:cs="Times New Roman"/>
          <w:sz w:val="24"/>
          <w:szCs w:val="24"/>
        </w:rPr>
        <w:t xml:space="preserve">através de seu representante legal, </w:t>
      </w:r>
      <w:r w:rsidR="00F01012" w:rsidRPr="007160C2">
        <w:rPr>
          <w:rFonts w:ascii="Times New Roman" w:hAnsi="Times New Roman" w:cs="Times New Roman"/>
          <w:sz w:val="24"/>
          <w:szCs w:val="24"/>
        </w:rPr>
        <w:t xml:space="preserve">vem, </w:t>
      </w:r>
      <w:r w:rsidRPr="007160C2">
        <w:rPr>
          <w:rFonts w:ascii="Times New Roman" w:hAnsi="Times New Roman" w:cs="Times New Roman"/>
          <w:sz w:val="24"/>
          <w:szCs w:val="24"/>
        </w:rPr>
        <w:t>tempestivamente</w:t>
      </w:r>
      <w:r w:rsidR="00F01012" w:rsidRPr="007160C2">
        <w:rPr>
          <w:rFonts w:ascii="Times New Roman" w:hAnsi="Times New Roman" w:cs="Times New Roman"/>
          <w:sz w:val="24"/>
          <w:szCs w:val="24"/>
        </w:rPr>
        <w:t>,</w:t>
      </w:r>
      <w:r w:rsidRPr="007160C2">
        <w:rPr>
          <w:rFonts w:ascii="Times New Roman" w:hAnsi="Times New Roman" w:cs="Times New Roman"/>
          <w:sz w:val="24"/>
          <w:szCs w:val="24"/>
        </w:rPr>
        <w:t xml:space="preserve"> apresentar pedido que promova as pertinentes modificações no Edital, corrigindo o </w:t>
      </w:r>
      <w:r w:rsidR="00EE14D6" w:rsidRPr="007160C2">
        <w:rPr>
          <w:rFonts w:ascii="Times New Roman" w:hAnsi="Times New Roman" w:cs="Times New Roman"/>
          <w:sz w:val="24"/>
          <w:szCs w:val="24"/>
        </w:rPr>
        <w:t>item</w:t>
      </w:r>
      <w:r w:rsidRPr="007160C2">
        <w:rPr>
          <w:rFonts w:ascii="Times New Roman" w:hAnsi="Times New Roman" w:cs="Times New Roman"/>
          <w:sz w:val="24"/>
          <w:szCs w:val="24"/>
        </w:rPr>
        <w:t xml:space="preserve"> questionado como i</w:t>
      </w:r>
      <w:r w:rsidR="00EE14D6" w:rsidRPr="007160C2">
        <w:rPr>
          <w:rFonts w:ascii="Times New Roman" w:hAnsi="Times New Roman" w:cs="Times New Roman"/>
          <w:sz w:val="24"/>
          <w:szCs w:val="24"/>
        </w:rPr>
        <w:t>rregular</w:t>
      </w:r>
      <w:r w:rsidRPr="007160C2">
        <w:rPr>
          <w:rFonts w:ascii="Times New Roman" w:hAnsi="Times New Roman" w:cs="Times New Roman"/>
          <w:sz w:val="24"/>
          <w:szCs w:val="24"/>
        </w:rPr>
        <w:t xml:space="preserve">, </w:t>
      </w:r>
      <w:r w:rsidR="00EE14D6" w:rsidRPr="007160C2">
        <w:rPr>
          <w:rFonts w:ascii="Times New Roman" w:hAnsi="Times New Roman" w:cs="Times New Roman"/>
          <w:sz w:val="24"/>
          <w:szCs w:val="24"/>
        </w:rPr>
        <w:t xml:space="preserve">o </w:t>
      </w:r>
      <w:r w:rsidRPr="007160C2">
        <w:rPr>
          <w:rFonts w:ascii="Times New Roman" w:hAnsi="Times New Roman" w:cs="Times New Roman"/>
          <w:sz w:val="24"/>
          <w:szCs w:val="24"/>
        </w:rPr>
        <w:t>qua</w:t>
      </w:r>
      <w:r w:rsidR="00EE14D6" w:rsidRPr="007160C2">
        <w:rPr>
          <w:rFonts w:ascii="Times New Roman" w:hAnsi="Times New Roman" w:cs="Times New Roman"/>
          <w:sz w:val="24"/>
          <w:szCs w:val="24"/>
        </w:rPr>
        <w:t>l</w:t>
      </w:r>
      <w:r w:rsidRPr="007160C2">
        <w:rPr>
          <w:rFonts w:ascii="Times New Roman" w:hAnsi="Times New Roman" w:cs="Times New Roman"/>
          <w:sz w:val="24"/>
          <w:szCs w:val="24"/>
        </w:rPr>
        <w:t xml:space="preserve"> </w:t>
      </w:r>
      <w:r w:rsidR="00EE14D6" w:rsidRPr="007160C2">
        <w:rPr>
          <w:rFonts w:ascii="Times New Roman" w:hAnsi="Times New Roman" w:cs="Times New Roman"/>
          <w:sz w:val="24"/>
          <w:szCs w:val="24"/>
        </w:rPr>
        <w:t>é</w:t>
      </w:r>
      <w:r w:rsidRPr="007160C2">
        <w:rPr>
          <w:rFonts w:ascii="Times New Roman" w:hAnsi="Times New Roman" w:cs="Times New Roman"/>
          <w:sz w:val="24"/>
          <w:szCs w:val="24"/>
        </w:rPr>
        <w:t xml:space="preserve"> objeto da presente impugnação</w:t>
      </w:r>
      <w:r w:rsidR="00FB2736" w:rsidRPr="007160C2">
        <w:rPr>
          <w:rFonts w:ascii="Times New Roman" w:hAnsi="Times New Roman" w:cs="Times New Roman"/>
          <w:sz w:val="24"/>
          <w:szCs w:val="24"/>
        </w:rPr>
        <w:t>, readequando o Edital à legislação vigente.</w:t>
      </w:r>
    </w:p>
    <w:p w14:paraId="55E6469C" w14:textId="2A96948B" w:rsidR="00EE14D6" w:rsidRPr="007160C2" w:rsidRDefault="00EE14D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A38C81" w14:textId="77777777" w:rsidR="00EE14D6" w:rsidRPr="00482C83" w:rsidRDefault="00EE14D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C83">
        <w:rPr>
          <w:rFonts w:ascii="Times New Roman" w:hAnsi="Times New Roman" w:cs="Times New Roman"/>
          <w:b/>
          <w:bCs/>
          <w:sz w:val="24"/>
          <w:szCs w:val="24"/>
        </w:rPr>
        <w:t xml:space="preserve">I. DAS PRELIMINARES </w:t>
      </w:r>
    </w:p>
    <w:p w14:paraId="2961330D" w14:textId="77777777" w:rsidR="00402513" w:rsidRPr="007160C2" w:rsidRDefault="00402513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0F17C5" w14:textId="62CC5E00" w:rsidR="002D4347" w:rsidRPr="007160C2" w:rsidRDefault="00EE14D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sz w:val="24"/>
          <w:szCs w:val="24"/>
        </w:rPr>
        <w:t>Em sede de admissibilidade, foram preenchidos os pressupostos de legitimidade, interesse processual, fundamentação, pedido de provimento à impugnação, reconsideração das exigências e tempestividade</w:t>
      </w:r>
      <w:r w:rsidR="002D4347" w:rsidRPr="007160C2">
        <w:rPr>
          <w:rFonts w:ascii="Times New Roman" w:hAnsi="Times New Roman" w:cs="Times New Roman"/>
          <w:sz w:val="24"/>
          <w:szCs w:val="24"/>
        </w:rPr>
        <w:t>.</w:t>
      </w:r>
    </w:p>
    <w:p w14:paraId="39228D84" w14:textId="77777777" w:rsidR="002D4347" w:rsidRPr="007160C2" w:rsidRDefault="002D4347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117BD5" w14:textId="6C84C753" w:rsidR="002D4347" w:rsidRPr="0085680A" w:rsidRDefault="00EE14D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0A">
        <w:rPr>
          <w:rFonts w:ascii="Times New Roman" w:hAnsi="Times New Roman" w:cs="Times New Roman"/>
          <w:b/>
          <w:sz w:val="24"/>
          <w:szCs w:val="24"/>
        </w:rPr>
        <w:t xml:space="preserve">II. DOS FATOS </w:t>
      </w:r>
    </w:p>
    <w:p w14:paraId="29DFC5D8" w14:textId="77777777" w:rsidR="002D4347" w:rsidRPr="007160C2" w:rsidRDefault="002D4347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5DF36" w14:textId="47E41075" w:rsidR="001251E2" w:rsidRPr="007160C2" w:rsidRDefault="00EE14D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sz w:val="24"/>
          <w:szCs w:val="24"/>
        </w:rPr>
        <w:t xml:space="preserve">Insurge-se a Impugnante, apresentando o pedido de modificação dos termos do ato convocatório do edital em epígrafe. </w:t>
      </w:r>
    </w:p>
    <w:p w14:paraId="1358454E" w14:textId="77777777" w:rsidR="006D284A" w:rsidRPr="007160C2" w:rsidRDefault="006D284A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D9F705" w14:textId="37B58294" w:rsidR="001251E2" w:rsidRPr="007160C2" w:rsidRDefault="00EE14D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sz w:val="24"/>
          <w:szCs w:val="24"/>
        </w:rPr>
        <w:t xml:space="preserve">Alega que o citado edital </w:t>
      </w:r>
      <w:r w:rsidR="006D284A" w:rsidRPr="007160C2">
        <w:rPr>
          <w:rFonts w:ascii="Times New Roman" w:hAnsi="Times New Roman" w:cs="Times New Roman"/>
          <w:sz w:val="24"/>
          <w:szCs w:val="24"/>
        </w:rPr>
        <w:t>contém vícios, frontalmente em desacordo ao que estabelece a Legislação Federal acima citada, bem como ao §1º do art. 30 da Lei Federal nº 8.666/93 e ao art. 4º, do Anexo I, do Decreto Federal nº 3.550/00 e alíneas “b” e “c” do subitem 10.6, do Anexo VII-A, da IN-SEGES nº 05/2017.</w:t>
      </w:r>
    </w:p>
    <w:p w14:paraId="6E360D3C" w14:textId="77777777" w:rsidR="0085680A" w:rsidRDefault="0085680A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8B7A42" w14:textId="6D68F2C3" w:rsidR="003F7B08" w:rsidRPr="007160C2" w:rsidRDefault="00EE14D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sz w:val="24"/>
          <w:szCs w:val="24"/>
        </w:rPr>
        <w:t xml:space="preserve">Alega inicialmente, que </w:t>
      </w:r>
      <w:r w:rsidR="00515DE5" w:rsidRPr="007160C2">
        <w:rPr>
          <w:rFonts w:ascii="Times New Roman" w:hAnsi="Times New Roman" w:cs="Times New Roman"/>
          <w:sz w:val="24"/>
          <w:szCs w:val="24"/>
        </w:rPr>
        <w:t xml:space="preserve">o Edital não está exigindo, de forma clara e objetiva, que a licitante comprove que já executou objeto compatível em características, quantidades e prazo, com o que está sendo licitado, mediante comprovação de experiência mínima de três anos na execução de objeto semelhante ao da contratação, ou seja: Terceirização de Serviços de Mão-de-obra qualificada em quantidade e prazo, compatíveis com o objeto da presente licitação, podendo ser aceito o somatório de atestados, contrariando assim, o disposto no </w:t>
      </w:r>
      <w:r w:rsidR="0034121F" w:rsidRPr="007160C2">
        <w:rPr>
          <w:rFonts w:ascii="Times New Roman" w:hAnsi="Times New Roman" w:cs="Times New Roman"/>
          <w:sz w:val="24"/>
          <w:szCs w:val="24"/>
        </w:rPr>
        <w:t xml:space="preserve">subitem 10.6, do Anexo VII-A, da </w:t>
      </w:r>
      <w:bookmarkStart w:id="0" w:name="_Hlk76050570"/>
      <w:r w:rsidR="0034121F" w:rsidRPr="007160C2">
        <w:rPr>
          <w:rFonts w:ascii="Times New Roman" w:hAnsi="Times New Roman" w:cs="Times New Roman"/>
          <w:sz w:val="24"/>
          <w:szCs w:val="24"/>
        </w:rPr>
        <w:t>IN-SEGES Nº 05/2017</w:t>
      </w:r>
      <w:bookmarkEnd w:id="0"/>
      <w:r w:rsidR="0034121F" w:rsidRPr="007160C2">
        <w:rPr>
          <w:rFonts w:ascii="Times New Roman" w:hAnsi="Times New Roman" w:cs="Times New Roman"/>
          <w:sz w:val="24"/>
          <w:szCs w:val="24"/>
        </w:rPr>
        <w:t xml:space="preserve">, </w:t>
      </w:r>
      <w:r w:rsidR="0013583C" w:rsidRPr="0013583C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13583C" w:rsidRPr="0013583C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="0034121F" w:rsidRPr="007160C2">
        <w:rPr>
          <w:rFonts w:ascii="Times New Roman" w:hAnsi="Times New Roman" w:cs="Times New Roman"/>
          <w:sz w:val="24"/>
          <w:szCs w:val="24"/>
        </w:rPr>
        <w:t>:</w:t>
      </w:r>
    </w:p>
    <w:p w14:paraId="405352AE" w14:textId="77777777" w:rsidR="0034121F" w:rsidRPr="007160C2" w:rsidRDefault="0034121F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BD7580" w14:textId="4D6DFB5C" w:rsidR="0034121F" w:rsidRPr="007160C2" w:rsidRDefault="0034121F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7160C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“10.6. Na contratação de serviço continuado, para efeito de qualificação técnico-operacional, a Administração poderá exigir do licitante:</w:t>
      </w:r>
    </w:p>
    <w:p w14:paraId="0F50D3C3" w14:textId="2127B7DD" w:rsidR="0034121F" w:rsidRPr="007160C2" w:rsidRDefault="0034121F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170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0BC5553B" w14:textId="37992716" w:rsidR="008F2212" w:rsidRPr="00CB5266" w:rsidRDefault="008F2212" w:rsidP="00CB5266">
      <w:pPr>
        <w:pStyle w:val="PargrafodaLista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B526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(...)</w:t>
      </w:r>
    </w:p>
    <w:p w14:paraId="4EFC1407" w14:textId="77777777" w:rsidR="00CB5266" w:rsidRPr="00CB5266" w:rsidRDefault="00CB5266" w:rsidP="00CB5266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360" w:lineRule="auto"/>
        <w:ind w:left="2061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6FA8DFAB" w14:textId="256A1CC3" w:rsidR="0034121F" w:rsidRPr="007160C2" w:rsidRDefault="0034121F" w:rsidP="009E6657">
      <w:pPr>
        <w:pStyle w:val="corpo"/>
        <w:shd w:val="clear" w:color="auto" w:fill="FFFFFF"/>
        <w:spacing w:before="0" w:beforeAutospacing="0" w:after="150" w:afterAutospacing="0" w:line="360" w:lineRule="auto"/>
        <w:ind w:left="1701"/>
        <w:jc w:val="both"/>
        <w:rPr>
          <w:b/>
          <w:bCs/>
          <w:sz w:val="20"/>
          <w:szCs w:val="20"/>
        </w:rPr>
      </w:pPr>
      <w:r w:rsidRPr="007160C2">
        <w:rPr>
          <w:b/>
          <w:bCs/>
          <w:sz w:val="20"/>
          <w:szCs w:val="20"/>
        </w:rPr>
        <w:t>b) comprovação que já executou objeto compatível, em prazo,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com o que está sendo licitado, mediante a comprovação de experiência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mínima de três anos na execução de objeto semelhante ao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da contratação, podendo ser aceito o somatório de atestados;</w:t>
      </w:r>
    </w:p>
    <w:p w14:paraId="3C99917E" w14:textId="77777777" w:rsidR="0034121F" w:rsidRPr="007160C2" w:rsidRDefault="0034121F" w:rsidP="009E6657">
      <w:pPr>
        <w:pStyle w:val="corpo"/>
        <w:shd w:val="clear" w:color="auto" w:fill="FFFFFF"/>
        <w:spacing w:before="0" w:beforeAutospacing="0" w:after="150" w:afterAutospacing="0" w:line="360" w:lineRule="auto"/>
        <w:ind w:left="1701"/>
        <w:jc w:val="both"/>
        <w:rPr>
          <w:b/>
          <w:bCs/>
          <w:sz w:val="20"/>
          <w:szCs w:val="20"/>
        </w:rPr>
      </w:pPr>
      <w:r w:rsidRPr="007160C2">
        <w:rPr>
          <w:b/>
          <w:bCs/>
          <w:sz w:val="20"/>
          <w:szCs w:val="20"/>
        </w:rPr>
        <w:t>c) no caso de contratação de serviços por postos de trabalho:</w:t>
      </w:r>
    </w:p>
    <w:p w14:paraId="6A6F57AD" w14:textId="132429EC" w:rsidR="0034121F" w:rsidRPr="007160C2" w:rsidRDefault="0034121F" w:rsidP="00F50803">
      <w:pPr>
        <w:pStyle w:val="corpo"/>
        <w:shd w:val="clear" w:color="auto" w:fill="FFFFFF"/>
        <w:spacing w:before="0" w:beforeAutospacing="0" w:after="150" w:afterAutospacing="0" w:line="360" w:lineRule="auto"/>
        <w:ind w:left="1701"/>
        <w:jc w:val="both"/>
        <w:rPr>
          <w:b/>
          <w:bCs/>
          <w:sz w:val="20"/>
          <w:szCs w:val="20"/>
        </w:rPr>
      </w:pPr>
      <w:r w:rsidRPr="007160C2">
        <w:rPr>
          <w:b/>
          <w:bCs/>
          <w:sz w:val="20"/>
          <w:szCs w:val="20"/>
        </w:rPr>
        <w:t>c.1.quando o número de postos de trabalho a ser contratado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for superior a 40 (quarenta) postos, o licitante deverá comprovar que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 xml:space="preserve">tenha executado </w:t>
      </w:r>
      <w:proofErr w:type="gramStart"/>
      <w:r w:rsidRPr="007160C2">
        <w:rPr>
          <w:b/>
          <w:bCs/>
          <w:sz w:val="20"/>
          <w:szCs w:val="20"/>
        </w:rPr>
        <w:t>contrato(</w:t>
      </w:r>
      <w:proofErr w:type="gramEnd"/>
      <w:r w:rsidRPr="007160C2">
        <w:rPr>
          <w:b/>
          <w:bCs/>
          <w:sz w:val="20"/>
          <w:szCs w:val="20"/>
        </w:rPr>
        <w:t>s) com um mínimo de 50% (cinquenta por</w:t>
      </w:r>
      <w:r w:rsidR="0085680A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cento) do número de postos de trabalho a serem contratados;</w:t>
      </w:r>
    </w:p>
    <w:p w14:paraId="4C837DEF" w14:textId="12B3014C" w:rsidR="0034121F" w:rsidRPr="007160C2" w:rsidRDefault="0034121F" w:rsidP="009E6657">
      <w:pPr>
        <w:pStyle w:val="corpo"/>
        <w:shd w:val="clear" w:color="auto" w:fill="FFFFFF"/>
        <w:spacing w:before="0" w:beforeAutospacing="0" w:after="150" w:afterAutospacing="0" w:line="360" w:lineRule="auto"/>
        <w:ind w:left="1701"/>
        <w:jc w:val="both"/>
        <w:rPr>
          <w:b/>
          <w:bCs/>
          <w:sz w:val="20"/>
          <w:szCs w:val="20"/>
        </w:rPr>
      </w:pPr>
      <w:r w:rsidRPr="007160C2">
        <w:rPr>
          <w:b/>
          <w:bCs/>
          <w:sz w:val="20"/>
          <w:szCs w:val="20"/>
        </w:rPr>
        <w:t xml:space="preserve">c.2. </w:t>
      </w:r>
      <w:proofErr w:type="gramStart"/>
      <w:r w:rsidRPr="007160C2">
        <w:rPr>
          <w:b/>
          <w:bCs/>
          <w:sz w:val="20"/>
          <w:szCs w:val="20"/>
        </w:rPr>
        <w:t>quando</w:t>
      </w:r>
      <w:proofErr w:type="gramEnd"/>
      <w:r w:rsidRPr="007160C2">
        <w:rPr>
          <w:b/>
          <w:bCs/>
          <w:sz w:val="20"/>
          <w:szCs w:val="20"/>
        </w:rPr>
        <w:t xml:space="preserve"> o número de postos de trabalho a ser contratado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for igual ou inferior a 40 (quarenta), o licitante deverá comprovar que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tenha executado contrato(s) em número de postos equivalentes ao da</w:t>
      </w:r>
      <w:r w:rsidR="008F2212" w:rsidRPr="007160C2">
        <w:rPr>
          <w:b/>
          <w:bCs/>
          <w:sz w:val="20"/>
          <w:szCs w:val="20"/>
        </w:rPr>
        <w:t xml:space="preserve"> </w:t>
      </w:r>
      <w:r w:rsidRPr="007160C2">
        <w:rPr>
          <w:b/>
          <w:bCs/>
          <w:sz w:val="20"/>
          <w:szCs w:val="20"/>
        </w:rPr>
        <w:t>contratação.</w:t>
      </w:r>
    </w:p>
    <w:p w14:paraId="626D7D7B" w14:textId="7E9E68E4" w:rsidR="002E0E38" w:rsidRPr="003F0DE3" w:rsidRDefault="008F2212" w:rsidP="003F0DE3">
      <w:pPr>
        <w:pStyle w:val="corpo"/>
        <w:shd w:val="clear" w:color="auto" w:fill="FFFFFF"/>
        <w:spacing w:before="0" w:beforeAutospacing="0" w:after="150" w:afterAutospacing="0" w:line="360" w:lineRule="auto"/>
        <w:ind w:left="1701"/>
        <w:jc w:val="both"/>
        <w:rPr>
          <w:b/>
          <w:bCs/>
          <w:sz w:val="20"/>
          <w:szCs w:val="20"/>
        </w:rPr>
      </w:pPr>
      <w:r w:rsidRPr="007160C2">
        <w:rPr>
          <w:b/>
          <w:bCs/>
          <w:sz w:val="20"/>
          <w:szCs w:val="20"/>
        </w:rPr>
        <w:lastRenderedPageBreak/>
        <w:t>(...)”</w:t>
      </w:r>
    </w:p>
    <w:p w14:paraId="25DFFE28" w14:textId="77777777" w:rsidR="003F0DE3" w:rsidRDefault="003F0DE3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76066837"/>
    </w:p>
    <w:p w14:paraId="5C59BFC7" w14:textId="1862EB0D" w:rsidR="0034121F" w:rsidRPr="007160C2" w:rsidRDefault="00001714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Argumenta</w:t>
      </w:r>
      <w:r w:rsidR="00B668C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4B6D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ainda</w:t>
      </w:r>
      <w:r w:rsidR="00B668C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84B6D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instrumento convocatório deverá definir a parcela de maior relevância e valor significativo, que deverá ser demonstrado </w:t>
      </w:r>
      <w:proofErr w:type="gramStart"/>
      <w:r w:rsidR="00184B6D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no(</w:t>
      </w:r>
      <w:proofErr w:type="gramEnd"/>
      <w:r w:rsidR="00184B6D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s) atestado(s) de capacidade técnica a ser(em) apresentado(s) pelas licitantes. O que não está definido no item 10.3.1, do Edital.</w:t>
      </w:r>
    </w:p>
    <w:bookmarkEnd w:id="1"/>
    <w:p w14:paraId="13FEE3C0" w14:textId="19C0F42A" w:rsidR="0034121F" w:rsidRPr="007160C2" w:rsidRDefault="0034121F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3BCF6" w14:textId="458C8E7B" w:rsidR="00B668C9" w:rsidRPr="0085680A" w:rsidRDefault="00B668C9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856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II.</w:t>
      </w:r>
      <w:r w:rsidRPr="008568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ANÁLISE</w:t>
      </w:r>
    </w:p>
    <w:p w14:paraId="34991757" w14:textId="702145EF" w:rsidR="009874EB" w:rsidRPr="007160C2" w:rsidRDefault="009874EB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5EFA72" w14:textId="58C16731" w:rsidR="002E0E38" w:rsidRDefault="009874EB" w:rsidP="003F0DE3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Como se depreende do Edital e seus Anexos, o objeto da presente licitação é </w:t>
      </w:r>
      <w:r w:rsidRPr="007160C2">
        <w:rPr>
          <w:rFonts w:ascii="Times New Roman" w:hAnsi="Times New Roman" w:cs="Times New Roman"/>
          <w:sz w:val="24"/>
          <w:szCs w:val="24"/>
        </w:rPr>
        <w:t xml:space="preserve">a contratação de serviço de </w:t>
      </w:r>
      <w:r w:rsidR="009E6657" w:rsidRPr="007160C2">
        <w:rPr>
          <w:rFonts w:ascii="Times New Roman" w:hAnsi="Times New Roman" w:cs="Times New Roman"/>
          <w:sz w:val="24"/>
          <w:szCs w:val="24"/>
        </w:rPr>
        <w:t>A</w:t>
      </w:r>
      <w:r w:rsidRPr="007160C2">
        <w:rPr>
          <w:rFonts w:ascii="Times New Roman" w:hAnsi="Times New Roman" w:cs="Times New Roman"/>
          <w:sz w:val="24"/>
          <w:szCs w:val="24"/>
        </w:rPr>
        <w:t xml:space="preserve">ssessoria </w:t>
      </w:r>
      <w:r w:rsidR="009E6657" w:rsidRPr="007160C2">
        <w:rPr>
          <w:rFonts w:ascii="Times New Roman" w:hAnsi="Times New Roman" w:cs="Times New Roman"/>
          <w:sz w:val="24"/>
          <w:szCs w:val="24"/>
        </w:rPr>
        <w:t>T</w:t>
      </w:r>
      <w:r w:rsidRPr="007160C2">
        <w:rPr>
          <w:rFonts w:ascii="Times New Roman" w:hAnsi="Times New Roman" w:cs="Times New Roman"/>
          <w:sz w:val="24"/>
          <w:szCs w:val="24"/>
        </w:rPr>
        <w:t xml:space="preserve">écnica para Apoio ao Gerenciamento do Programa Região Oceânica Sustentável – PRO Sustentável, em ações direcionadas ao apoio ao gerenciamento, coordenação, gestão socioambiental, monitoramento das ações previstas no programa. </w:t>
      </w:r>
    </w:p>
    <w:p w14:paraId="0BB00D9F" w14:textId="16B8BC34" w:rsidR="009874EB" w:rsidRPr="007160C2" w:rsidRDefault="009874EB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0C2">
        <w:rPr>
          <w:rFonts w:ascii="Times New Roman" w:hAnsi="Times New Roman" w:cs="Times New Roman"/>
          <w:sz w:val="24"/>
          <w:szCs w:val="24"/>
        </w:rPr>
        <w:t xml:space="preserve">Tenha-se presente, que a IN-SEGES Nº 05/2017, </w:t>
      </w: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dispõe sobre as regras e diretrizes do procedimento de contratação de serviços sob o regime de execução indireta no âmbito da Administração Pública </w:t>
      </w:r>
      <w:r w:rsidR="00DB2F6C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ederal </w:t>
      </w:r>
      <w:r w:rsidR="00DB2F6C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ireta, </w:t>
      </w:r>
      <w:r w:rsidR="00DB2F6C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utárquica e </w:t>
      </w:r>
      <w:r w:rsidR="00DB2F6C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undacional.</w:t>
      </w:r>
    </w:p>
    <w:p w14:paraId="7EC1A0BD" w14:textId="77777777" w:rsidR="009E6657" w:rsidRPr="007160C2" w:rsidRDefault="009E6657" w:rsidP="00207C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AFA803" w14:textId="3E993F74" w:rsidR="003F0DE3" w:rsidRDefault="009874EB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Inobstante isso, é de se dizer que o alegado subitem 10.6 </w:t>
      </w:r>
      <w:r w:rsidRPr="007160C2">
        <w:rPr>
          <w:rFonts w:ascii="Times New Roman" w:hAnsi="Times New Roman" w:cs="Times New Roman"/>
          <w:sz w:val="24"/>
          <w:szCs w:val="24"/>
        </w:rPr>
        <w:t>do Anexo VII-A, da IN-SEGES Nº 05/2017</w:t>
      </w:r>
      <w:r w:rsidR="009E6657" w:rsidRPr="007160C2">
        <w:rPr>
          <w:rFonts w:ascii="Times New Roman" w:hAnsi="Times New Roman" w:cs="Times New Roman"/>
          <w:sz w:val="24"/>
          <w:szCs w:val="24"/>
        </w:rPr>
        <w:t xml:space="preserve">, dispõe que a Administração </w:t>
      </w:r>
      <w:r w:rsidR="009E6657" w:rsidRPr="007160C2">
        <w:rPr>
          <w:rFonts w:ascii="Times New Roman" w:hAnsi="Times New Roman" w:cs="Times New Roman"/>
          <w:b/>
          <w:bCs/>
          <w:sz w:val="24"/>
          <w:szCs w:val="24"/>
        </w:rPr>
        <w:t>poderá</w:t>
      </w:r>
      <w:r w:rsidR="009E6657" w:rsidRPr="007160C2">
        <w:rPr>
          <w:rFonts w:ascii="Times New Roman" w:hAnsi="Times New Roman" w:cs="Times New Roman"/>
          <w:sz w:val="24"/>
          <w:szCs w:val="24"/>
        </w:rPr>
        <w:t xml:space="preserve"> exigir do licitante o que consta nos </w:t>
      </w:r>
    </w:p>
    <w:p w14:paraId="14F0FC83" w14:textId="4DEFB081" w:rsidR="009874EB" w:rsidRDefault="00C5297D" w:rsidP="003F0DE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C2">
        <w:rPr>
          <w:rFonts w:ascii="Times New Roman" w:hAnsi="Times New Roman" w:cs="Times New Roman"/>
          <w:sz w:val="24"/>
          <w:szCs w:val="24"/>
        </w:rPr>
        <w:t>sub</w:t>
      </w:r>
      <w:r w:rsidR="009E6657" w:rsidRPr="007160C2">
        <w:rPr>
          <w:rFonts w:ascii="Times New Roman" w:hAnsi="Times New Roman" w:cs="Times New Roman"/>
          <w:sz w:val="24"/>
          <w:szCs w:val="24"/>
        </w:rPr>
        <w:t>itens</w:t>
      </w:r>
      <w:proofErr w:type="gramEnd"/>
      <w:r w:rsidRPr="007160C2">
        <w:rPr>
          <w:rFonts w:ascii="Times New Roman" w:hAnsi="Times New Roman" w:cs="Times New Roman"/>
          <w:sz w:val="24"/>
          <w:szCs w:val="24"/>
        </w:rPr>
        <w:t xml:space="preserve"> ali descritos</w:t>
      </w:r>
      <w:r w:rsidR="00207CAD" w:rsidRPr="007160C2">
        <w:rPr>
          <w:rFonts w:ascii="Times New Roman" w:hAnsi="Times New Roman" w:cs="Times New Roman"/>
          <w:sz w:val="24"/>
          <w:szCs w:val="24"/>
        </w:rPr>
        <w:t xml:space="preserve">, </w:t>
      </w:r>
      <w:r w:rsidR="00653956">
        <w:rPr>
          <w:rFonts w:ascii="Times New Roman" w:hAnsi="Times New Roman" w:cs="Times New Roman"/>
          <w:sz w:val="24"/>
          <w:szCs w:val="24"/>
        </w:rPr>
        <w:t>mas é clarividente que não pode compelir a Administração a que isso ocorra.</w:t>
      </w:r>
    </w:p>
    <w:p w14:paraId="27EDAB1F" w14:textId="77777777" w:rsidR="00653956" w:rsidRDefault="0065395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DA600" w14:textId="27254F4F" w:rsidR="00653956" w:rsidRPr="007160C2" w:rsidRDefault="00653956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Certo é, que a Administração está sujeita a atender ao disposto no art. 30 da Lei Federal nº 8.666/93, o qual discorre sobre a documentação relativa à qualificação técnica, que </w:t>
      </w:r>
      <w:r w:rsidR="00300121">
        <w:rPr>
          <w:rFonts w:ascii="Times New Roman" w:hAnsi="Times New Roman" w:cs="Times New Roman"/>
          <w:sz w:val="24"/>
          <w:szCs w:val="24"/>
        </w:rPr>
        <w:t xml:space="preserve">deve ser </w:t>
      </w:r>
      <w:r>
        <w:rPr>
          <w:rFonts w:ascii="Times New Roman" w:hAnsi="Times New Roman" w:cs="Times New Roman"/>
          <w:sz w:val="24"/>
          <w:szCs w:val="24"/>
        </w:rPr>
        <w:t>atendida conforme o caso concreto</w:t>
      </w:r>
      <w:r w:rsidR="00300121">
        <w:rPr>
          <w:rFonts w:ascii="Times New Roman" w:hAnsi="Times New Roman" w:cs="Times New Roman"/>
          <w:sz w:val="24"/>
          <w:szCs w:val="24"/>
        </w:rPr>
        <w:t xml:space="preserve">, o que foi cumprido </w:t>
      </w:r>
      <w:r w:rsidR="002F7289">
        <w:rPr>
          <w:rFonts w:ascii="Times New Roman" w:hAnsi="Times New Roman" w:cs="Times New Roman"/>
          <w:sz w:val="24"/>
          <w:szCs w:val="24"/>
        </w:rPr>
        <w:t xml:space="preserve">plenamente </w:t>
      </w:r>
      <w:r w:rsidR="00300121">
        <w:rPr>
          <w:rFonts w:ascii="Times New Roman" w:hAnsi="Times New Roman" w:cs="Times New Roman"/>
          <w:sz w:val="24"/>
          <w:szCs w:val="24"/>
        </w:rPr>
        <w:t>no Instrumento Convocatório em tela.</w:t>
      </w:r>
    </w:p>
    <w:p w14:paraId="03240121" w14:textId="174C05EA" w:rsidR="00C5297D" w:rsidRPr="007160C2" w:rsidRDefault="00C5297D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00F00B" w14:textId="5C31ABD2" w:rsidR="00F23967" w:rsidRPr="007160C2" w:rsidRDefault="003A4BC8" w:rsidP="00B8448C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Nesta esteira, i</w:t>
      </w:r>
      <w:r w:rsidR="00C5297D" w:rsidRPr="007160C2">
        <w:rPr>
          <w:rFonts w:ascii="Times New Roman" w:hAnsi="Times New Roman" w:cs="Times New Roman"/>
          <w:sz w:val="24"/>
          <w:szCs w:val="24"/>
        </w:rPr>
        <w:t xml:space="preserve">nsta </w:t>
      </w:r>
      <w:r w:rsidR="00B55C81" w:rsidRPr="007160C2">
        <w:rPr>
          <w:rFonts w:ascii="Times New Roman" w:hAnsi="Times New Roman" w:cs="Times New Roman"/>
          <w:sz w:val="24"/>
          <w:szCs w:val="24"/>
        </w:rPr>
        <w:t>trazer à tona</w:t>
      </w:r>
      <w:r w:rsidR="002F7289">
        <w:rPr>
          <w:rFonts w:ascii="Times New Roman" w:hAnsi="Times New Roman" w:cs="Times New Roman"/>
          <w:sz w:val="24"/>
          <w:szCs w:val="24"/>
        </w:rPr>
        <w:t>,</w:t>
      </w:r>
      <w:r w:rsidR="00B55C81" w:rsidRPr="007160C2">
        <w:rPr>
          <w:rFonts w:ascii="Times New Roman" w:hAnsi="Times New Roman" w:cs="Times New Roman"/>
          <w:sz w:val="24"/>
          <w:szCs w:val="24"/>
        </w:rPr>
        <w:t xml:space="preserve"> que a licitação em comento exige que a empresa contratada disponibilize apenas 14 (quatorze) profissionais especializados que apoiem a UGP no cumprimento de suas responsabilidades e nas ações integrantes do Programa, em observância a todas as políticas, normas e procedimentos estabelecidos pelo CAF e Município de Niterói, não se tratando dessa forma de uma contratação de grande vulto e nem complexa, a ponto de ser exigida a comprovação de experiência mínima de três anos na execução de objeto semelhante ao da contratação, o que </w:t>
      </w:r>
      <w:r w:rsidR="002E0E38" w:rsidRPr="007160C2">
        <w:rPr>
          <w:rFonts w:ascii="Times New Roman" w:hAnsi="Times New Roman" w:cs="Times New Roman"/>
          <w:sz w:val="24"/>
          <w:szCs w:val="24"/>
        </w:rPr>
        <w:t>poderia inclusive comprometer</w:t>
      </w:r>
      <w:r w:rsidR="00B55C81" w:rsidRPr="007160C2">
        <w:rPr>
          <w:rFonts w:ascii="Times New Roman" w:hAnsi="Times New Roman" w:cs="Times New Roman"/>
          <w:sz w:val="24"/>
          <w:szCs w:val="24"/>
        </w:rPr>
        <w:t xml:space="preserve"> a competitividade do certame</w:t>
      </w:r>
      <w:r w:rsidR="00F23967" w:rsidRPr="007160C2">
        <w:rPr>
          <w:rFonts w:ascii="Times New Roman" w:hAnsi="Times New Roman" w:cs="Times New Roman"/>
          <w:sz w:val="24"/>
          <w:szCs w:val="24"/>
        </w:rPr>
        <w:t>.</w:t>
      </w:r>
    </w:p>
    <w:p w14:paraId="7AC7837A" w14:textId="29B4980B" w:rsidR="00AE7F6B" w:rsidRPr="007160C2" w:rsidRDefault="00F23967" w:rsidP="00B55C81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0C2">
        <w:rPr>
          <w:rFonts w:ascii="Times New Roman" w:hAnsi="Times New Roman" w:cs="Times New Roman"/>
          <w:sz w:val="24"/>
          <w:szCs w:val="24"/>
        </w:rPr>
        <w:t>Todavia, a não exigência da comprovação de experiência mínima de três anos na execução de objeto semelhante ao da contratação</w:t>
      </w:r>
      <w:r w:rsidR="00AE7F6B" w:rsidRPr="007160C2">
        <w:rPr>
          <w:rFonts w:ascii="Times New Roman" w:hAnsi="Times New Roman" w:cs="Times New Roman"/>
          <w:sz w:val="24"/>
          <w:szCs w:val="24"/>
        </w:rPr>
        <w:t xml:space="preserve">, </w:t>
      </w:r>
      <w:r w:rsidR="00B55C81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não significa permitir a participação de todos os que se interessarem nas contratações celebradas com o Poder Público, mas somente daqueles que possuírem, minimamente, condições técnicas e econômicas para tanto</w:t>
      </w:r>
      <w:r w:rsidR="00AE7F6B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, motivo pelo qual o subitem 10.3.1 do Edital abrange as regras previstas no art. 30 da Lei Federal nº 8.666/93</w:t>
      </w:r>
      <w:r w:rsidR="001C0FFA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, no que concerne ao objeto da licitação.</w:t>
      </w:r>
    </w:p>
    <w:p w14:paraId="4B965FEC" w14:textId="3C42EF89" w:rsidR="00FA39FF" w:rsidRPr="007160C2" w:rsidRDefault="00AE7F6B" w:rsidP="00FA39F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Além disso, o Instrumento Convocatório atende às regras pertinentes à qualificação econômico-financeira, conforme item 10.2, a fim de que realmente seja contratada empresa que tenha condições econômicas para satisfazer as obrigações contratuais. </w:t>
      </w:r>
    </w:p>
    <w:p w14:paraId="3AF50CE4" w14:textId="3DDD5227" w:rsidR="001C0FFA" w:rsidRPr="007160C2" w:rsidRDefault="00DE343C" w:rsidP="001C0FFA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0C2">
        <w:rPr>
          <w:rFonts w:ascii="Times New Roman" w:eastAsia="Times New Roman" w:hAnsi="Times New Roman" w:cs="Times New Roman"/>
          <w:sz w:val="24"/>
          <w:szCs w:val="24"/>
          <w:lang w:eastAsia="pt-BR"/>
        </w:rPr>
        <w:t>Ademais, a</w:t>
      </w:r>
      <w:r w:rsidR="00C5297D" w:rsidRPr="00C529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exigência de comprovação afeta à qualificação técnica deve estar restrita ao mínimo indispensável à execução do objeto, nos termos estabelecidos pelo art. 37, inc. XXI, da Constituição Federal</w:t>
      </w:r>
      <w:r w:rsidR="00836B42" w:rsidRPr="0071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36B42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devendo sempre se buscar o equilíbrio entre a segurança da Administração quanto ao cumprimento das obrigações por parte do contratado e a preservação da necessária competividade.</w:t>
      </w:r>
    </w:p>
    <w:p w14:paraId="7DF6101C" w14:textId="5F1F360A" w:rsidR="00C5297D" w:rsidRDefault="00DE343C" w:rsidP="00FA39FF">
      <w:pPr>
        <w:spacing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160C2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forma, c</w:t>
      </w:r>
      <w:r w:rsidR="00C5297D" w:rsidRPr="00C529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abe à Administração, </w:t>
      </w:r>
      <w:r w:rsidR="009B11CC" w:rsidRPr="007160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avaliar, </w:t>
      </w:r>
      <w:r w:rsidR="00C5297D" w:rsidRPr="00C5297D">
        <w:rPr>
          <w:rFonts w:ascii="Times New Roman" w:eastAsia="Times New Roman" w:hAnsi="Times New Roman" w:cs="Times New Roman"/>
          <w:sz w:val="24"/>
          <w:szCs w:val="24"/>
          <w:lang w:eastAsia="pt-BR"/>
        </w:rPr>
        <w:t>em cada caso concreto, a real necessidade de exigir os documentos arrolados no art. 30 da Lei nº 8.666/93, inclusive no que diz respeito à capacidade técnica-operacional, </w:t>
      </w:r>
      <w:r w:rsidR="00C5297D" w:rsidRPr="00C52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 em que medida</w:t>
      </w:r>
      <w:r w:rsidR="001C0FFA" w:rsidRPr="007160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.</w:t>
      </w:r>
    </w:p>
    <w:p w14:paraId="4B690615" w14:textId="171B356A" w:rsidR="002F7289" w:rsidRDefault="002F7289" w:rsidP="00FA39FF">
      <w:pPr>
        <w:spacing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60BB4AA8" w14:textId="2A193DC9" w:rsidR="0040124B" w:rsidRDefault="00A53582" w:rsidP="00F245B5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lastRenderedPageBreak/>
        <w:t>Visto isso, n</w:t>
      </w:r>
      <w:r w:rsidR="002F72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o que tange</w:t>
      </w:r>
      <w:r w:rsidR="002F7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alegação de</w:t>
      </w:r>
      <w:r w:rsidR="002F728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o </w:t>
      </w:r>
      <w:r w:rsidR="002F728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F728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nstrumento </w:t>
      </w:r>
      <w:r w:rsidR="002F7289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F728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onvocatório deverá definir a parcela de maior relevância e valor significativo, que deverá ser demonstrado </w:t>
      </w:r>
      <w:proofErr w:type="gramStart"/>
      <w:r w:rsidR="002F728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no(</w:t>
      </w:r>
      <w:proofErr w:type="gramEnd"/>
      <w:r w:rsidR="002F728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s) atestado(s) de capacidade técnica a ser(em) apresentado(s) pelas licitantes</w:t>
      </w:r>
      <w:r w:rsidR="002F7289">
        <w:rPr>
          <w:rFonts w:ascii="Times New Roman" w:hAnsi="Times New Roman" w:cs="Times New Roman"/>
          <w:sz w:val="24"/>
          <w:szCs w:val="24"/>
          <w:shd w:val="clear" w:color="auto" w:fill="FFFFFF"/>
        </w:rPr>
        <w:t>, e que o mesmo</w:t>
      </w:r>
      <w:r w:rsidR="002F7289"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está definido no item 10.3.1, do Edital</w:t>
      </w:r>
      <w:r w:rsidR="002F7289">
        <w:rPr>
          <w:rFonts w:ascii="Times New Roman" w:hAnsi="Times New Roman" w:cs="Times New Roman"/>
          <w:sz w:val="24"/>
          <w:szCs w:val="24"/>
          <w:shd w:val="clear" w:color="auto" w:fill="FFFFFF"/>
        </w:rPr>
        <w:t>, é de se dizer que a parcela de maior relevância está relacionada ao escopo geral do objeto</w:t>
      </w:r>
      <w:r w:rsidR="00401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6D9701" w14:textId="1B9B42DE" w:rsidR="00101213" w:rsidRDefault="0040124B" w:rsidP="0085680A">
      <w:pPr>
        <w:spacing w:line="360" w:lineRule="auto"/>
        <w:ind w:right="-1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Nesse sentido, o escopo geral do objeto </w:t>
      </w:r>
      <w:r w:rsidR="002F72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 w:rsidR="00EB1FE9" w:rsidRPr="00D97421">
        <w:rPr>
          <w:sz w:val="24"/>
          <w:szCs w:val="24"/>
        </w:rPr>
        <w:t>a contratação de serviço de assessoria técnica para Apoio ao Gerenciamento do Programa Região Oceânica Sustentável – PRO Sustentável, em ações direcionadas ao apoio ao gerenciamento, coordenação, gestão socioambiental, monitoramento das ações previstas no programa</w:t>
      </w:r>
      <w:r>
        <w:rPr>
          <w:sz w:val="24"/>
          <w:szCs w:val="24"/>
        </w:rPr>
        <w:t>, como já foi citado anteriormente</w:t>
      </w:r>
      <w:r w:rsidR="00A53582">
        <w:rPr>
          <w:sz w:val="24"/>
          <w:szCs w:val="24"/>
        </w:rPr>
        <w:t>, não havendo, portanto</w:t>
      </w:r>
      <w:r w:rsidR="007E536A">
        <w:rPr>
          <w:sz w:val="24"/>
          <w:szCs w:val="24"/>
        </w:rPr>
        <w:t>,</w:t>
      </w:r>
      <w:r w:rsidR="00A53582">
        <w:rPr>
          <w:sz w:val="24"/>
          <w:szCs w:val="24"/>
        </w:rPr>
        <w:t xml:space="preserve"> que se falar e</w:t>
      </w:r>
      <w:r w:rsidR="00482C83">
        <w:rPr>
          <w:sz w:val="24"/>
          <w:szCs w:val="24"/>
        </w:rPr>
        <w:t>m vício</w:t>
      </w:r>
      <w:r w:rsidR="007E536A">
        <w:rPr>
          <w:sz w:val="24"/>
          <w:szCs w:val="24"/>
        </w:rPr>
        <w:t>s</w:t>
      </w:r>
      <w:r w:rsidR="00482C83">
        <w:rPr>
          <w:sz w:val="24"/>
          <w:szCs w:val="24"/>
        </w:rPr>
        <w:t xml:space="preserve"> no </w:t>
      </w:r>
      <w:r w:rsidR="007E536A">
        <w:rPr>
          <w:sz w:val="24"/>
          <w:szCs w:val="24"/>
        </w:rPr>
        <w:t>Edital.</w:t>
      </w:r>
    </w:p>
    <w:p w14:paraId="3A2D1921" w14:textId="77777777" w:rsidR="003F0DE3" w:rsidRPr="003F0DE3" w:rsidRDefault="003F0DE3" w:rsidP="003F0DE3">
      <w:pPr>
        <w:spacing w:line="360" w:lineRule="auto"/>
        <w:ind w:right="-1" w:firstLine="567"/>
        <w:jc w:val="both"/>
        <w:rPr>
          <w:sz w:val="24"/>
          <w:szCs w:val="24"/>
        </w:rPr>
      </w:pPr>
    </w:p>
    <w:p w14:paraId="30235D03" w14:textId="2E60FCC4" w:rsidR="00EE5E54" w:rsidRDefault="0085680A" w:rsidP="003F0DE3">
      <w:pPr>
        <w:spacing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I</w:t>
      </w:r>
      <w:r w:rsidR="00101213" w:rsidRPr="007160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V- DA CONCLUSÃO</w:t>
      </w:r>
    </w:p>
    <w:p w14:paraId="4784E027" w14:textId="1E2AEC24" w:rsidR="009874EB" w:rsidRPr="003F0DE3" w:rsidRDefault="00101213" w:rsidP="003F0DE3">
      <w:pPr>
        <w:spacing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7160C2">
        <w:rPr>
          <w:rFonts w:ascii="Times New Roman" w:hAnsi="Times New Roman" w:cs="Times New Roman"/>
          <w:sz w:val="24"/>
          <w:szCs w:val="24"/>
        </w:rPr>
        <w:t>Isto posto, após análise, sem nada mais evocar, CONHEÇO da impugnação interposta pela empresa</w:t>
      </w:r>
      <w:r w:rsidR="00EE5E54" w:rsidRPr="007160C2">
        <w:rPr>
          <w:rFonts w:ascii="Times New Roman" w:hAnsi="Times New Roman" w:cs="Times New Roman"/>
          <w:b/>
          <w:bCs/>
          <w:sz w:val="24"/>
          <w:szCs w:val="24"/>
        </w:rPr>
        <w:t xml:space="preserve"> FB TERCEIRIZAÇÃO LTDA.</w:t>
      </w:r>
      <w:r w:rsidRPr="007160C2">
        <w:rPr>
          <w:rFonts w:ascii="Times New Roman" w:hAnsi="Times New Roman" w:cs="Times New Roman"/>
          <w:sz w:val="24"/>
          <w:szCs w:val="24"/>
        </w:rPr>
        <w:t>, no processo licitatório</w:t>
      </w:r>
      <w:r w:rsidR="00EE5E54" w:rsidRPr="007160C2">
        <w:rPr>
          <w:rFonts w:ascii="Times New Roman" w:hAnsi="Times New Roman" w:cs="Times New Roman"/>
          <w:sz w:val="24"/>
          <w:szCs w:val="24"/>
        </w:rPr>
        <w:t xml:space="preserve"> Pregão Presencial n° 017/2021</w:t>
      </w:r>
      <w:r w:rsidRPr="007160C2">
        <w:rPr>
          <w:rFonts w:ascii="Times New Roman" w:hAnsi="Times New Roman" w:cs="Times New Roman"/>
          <w:sz w:val="24"/>
          <w:szCs w:val="24"/>
        </w:rPr>
        <w:t xml:space="preserve"> e no mérito NEG</w:t>
      </w:r>
      <w:r w:rsidR="00EE5E54" w:rsidRPr="007160C2">
        <w:rPr>
          <w:rFonts w:ascii="Times New Roman" w:hAnsi="Times New Roman" w:cs="Times New Roman"/>
          <w:sz w:val="24"/>
          <w:szCs w:val="24"/>
        </w:rPr>
        <w:t>O</w:t>
      </w:r>
      <w:r w:rsidRPr="007160C2">
        <w:rPr>
          <w:rFonts w:ascii="Times New Roman" w:hAnsi="Times New Roman" w:cs="Times New Roman"/>
          <w:sz w:val="24"/>
          <w:szCs w:val="24"/>
        </w:rPr>
        <w:t xml:space="preserve"> PROVIMENTO, mantendo-se inalterado o </w:t>
      </w:r>
      <w:r w:rsidR="00950A1F" w:rsidRPr="007160C2">
        <w:rPr>
          <w:rFonts w:ascii="Times New Roman" w:hAnsi="Times New Roman" w:cs="Times New Roman"/>
          <w:sz w:val="24"/>
          <w:szCs w:val="24"/>
        </w:rPr>
        <w:t>E</w:t>
      </w:r>
      <w:r w:rsidRPr="007160C2">
        <w:rPr>
          <w:rFonts w:ascii="Times New Roman" w:hAnsi="Times New Roman" w:cs="Times New Roman"/>
          <w:sz w:val="24"/>
          <w:szCs w:val="24"/>
        </w:rPr>
        <w:t>dital.</w:t>
      </w:r>
    </w:p>
    <w:p w14:paraId="14696C76" w14:textId="77777777" w:rsidR="003F0DE3" w:rsidRDefault="003F0DE3" w:rsidP="002E0E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D7D0D7" w14:textId="2B72A251" w:rsidR="00B668C9" w:rsidRPr="007160C2" w:rsidRDefault="001A6A5C" w:rsidP="002E0E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GoBack"/>
      <w:bookmarkEnd w:id="2"/>
      <w:r w:rsidRPr="007160C2">
        <w:rPr>
          <w:rFonts w:ascii="Times New Roman" w:hAnsi="Times New Roman" w:cs="Times New Roman"/>
          <w:sz w:val="24"/>
          <w:szCs w:val="24"/>
          <w:shd w:val="clear" w:color="auto" w:fill="FFFFFF"/>
        </w:rPr>
        <w:t>Niterói, 02 de julho de 2021</w:t>
      </w:r>
    </w:p>
    <w:p w14:paraId="50DA0378" w14:textId="41F5C42C" w:rsidR="00B668C9" w:rsidRDefault="00B668C9" w:rsidP="002E0E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3AE12" w14:textId="4CE99319" w:rsidR="003F0DE3" w:rsidRDefault="003F0DE3" w:rsidP="002E0E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731F8D" w14:textId="77777777" w:rsidR="003F0DE3" w:rsidRPr="007160C2" w:rsidRDefault="003F0DE3" w:rsidP="002E0E3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579C6F" w14:textId="77777777" w:rsidR="001A6A5C" w:rsidRPr="007160C2" w:rsidRDefault="001A6A5C" w:rsidP="002E0E38">
      <w:pPr>
        <w:pStyle w:val="Corpodetexto"/>
        <w:ind w:right="119"/>
        <w:jc w:val="center"/>
        <w:rPr>
          <w:b/>
          <w:spacing w:val="1"/>
          <w:sz w:val="24"/>
          <w:szCs w:val="24"/>
        </w:rPr>
      </w:pPr>
      <w:r w:rsidRPr="007160C2">
        <w:rPr>
          <w:b/>
          <w:sz w:val="24"/>
          <w:szCs w:val="24"/>
        </w:rPr>
        <w:t xml:space="preserve">Vicente </w:t>
      </w:r>
      <w:proofErr w:type="spellStart"/>
      <w:r w:rsidRPr="007160C2">
        <w:rPr>
          <w:b/>
          <w:sz w:val="24"/>
          <w:szCs w:val="24"/>
        </w:rPr>
        <w:t>AugustoTemperini</w:t>
      </w:r>
      <w:proofErr w:type="spellEnd"/>
      <w:r w:rsidRPr="007160C2">
        <w:rPr>
          <w:b/>
          <w:sz w:val="24"/>
          <w:szCs w:val="24"/>
        </w:rPr>
        <w:t xml:space="preserve"> Marins</w:t>
      </w:r>
    </w:p>
    <w:p w14:paraId="62268C76" w14:textId="6F29DF07" w:rsidR="0034121F" w:rsidRPr="003F0DE3" w:rsidRDefault="001A6A5C" w:rsidP="003F0DE3">
      <w:pPr>
        <w:pStyle w:val="Corpodetexto"/>
        <w:ind w:right="119"/>
        <w:jc w:val="center"/>
        <w:rPr>
          <w:bCs/>
          <w:sz w:val="24"/>
          <w:szCs w:val="24"/>
        </w:rPr>
      </w:pPr>
      <w:r w:rsidRPr="007160C2">
        <w:rPr>
          <w:bCs/>
          <w:sz w:val="24"/>
          <w:szCs w:val="24"/>
        </w:rPr>
        <w:t>Secretário</w:t>
      </w:r>
      <w:r w:rsidRPr="007160C2">
        <w:rPr>
          <w:bCs/>
          <w:spacing w:val="-4"/>
          <w:sz w:val="24"/>
          <w:szCs w:val="24"/>
        </w:rPr>
        <w:t xml:space="preserve"> </w:t>
      </w:r>
      <w:r w:rsidRPr="007160C2">
        <w:rPr>
          <w:bCs/>
          <w:sz w:val="24"/>
          <w:szCs w:val="24"/>
        </w:rPr>
        <w:t>de</w:t>
      </w:r>
      <w:r w:rsidRPr="007160C2">
        <w:rPr>
          <w:bCs/>
          <w:spacing w:val="-6"/>
          <w:sz w:val="24"/>
          <w:szCs w:val="24"/>
        </w:rPr>
        <w:t xml:space="preserve"> </w:t>
      </w:r>
      <w:r w:rsidRPr="007160C2">
        <w:rPr>
          <w:bCs/>
          <w:sz w:val="24"/>
          <w:szCs w:val="24"/>
        </w:rPr>
        <w:t>Obras</w:t>
      </w:r>
      <w:r w:rsidRPr="007160C2">
        <w:rPr>
          <w:bCs/>
          <w:spacing w:val="-4"/>
          <w:sz w:val="24"/>
          <w:szCs w:val="24"/>
        </w:rPr>
        <w:t xml:space="preserve"> </w:t>
      </w:r>
      <w:r w:rsidRPr="007160C2">
        <w:rPr>
          <w:bCs/>
          <w:sz w:val="24"/>
          <w:szCs w:val="24"/>
        </w:rPr>
        <w:t>e</w:t>
      </w:r>
      <w:r w:rsidRPr="007160C2">
        <w:rPr>
          <w:bCs/>
          <w:spacing w:val="-1"/>
          <w:sz w:val="24"/>
          <w:szCs w:val="24"/>
        </w:rPr>
        <w:t xml:space="preserve"> </w:t>
      </w:r>
      <w:r w:rsidRPr="007160C2">
        <w:rPr>
          <w:bCs/>
          <w:sz w:val="24"/>
          <w:szCs w:val="24"/>
        </w:rPr>
        <w:t>Infraestrutura</w:t>
      </w:r>
    </w:p>
    <w:p w14:paraId="5D48AE09" w14:textId="484986A1" w:rsidR="0034121F" w:rsidRPr="007160C2" w:rsidRDefault="0034121F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BEB5E4" w14:textId="7A54B8C7" w:rsidR="0034121F" w:rsidRPr="007160C2" w:rsidRDefault="0034121F" w:rsidP="009E66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34121F" w:rsidRPr="007160C2" w:rsidSect="004C155D">
      <w:headerReference w:type="default" r:id="rId8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EAC9" w14:textId="77777777" w:rsidR="00BD50E5" w:rsidRDefault="00BD50E5" w:rsidP="00783992">
      <w:pPr>
        <w:spacing w:after="0" w:line="240" w:lineRule="auto"/>
      </w:pPr>
      <w:r>
        <w:separator/>
      </w:r>
    </w:p>
  </w:endnote>
  <w:endnote w:type="continuationSeparator" w:id="0">
    <w:p w14:paraId="574AB890" w14:textId="77777777" w:rsidR="00BD50E5" w:rsidRDefault="00BD50E5" w:rsidP="0078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E1587" w14:textId="77777777" w:rsidR="00BD50E5" w:rsidRDefault="00BD50E5" w:rsidP="00783992">
      <w:pPr>
        <w:spacing w:after="0" w:line="240" w:lineRule="auto"/>
      </w:pPr>
      <w:r>
        <w:separator/>
      </w:r>
    </w:p>
  </w:footnote>
  <w:footnote w:type="continuationSeparator" w:id="0">
    <w:p w14:paraId="052B0E43" w14:textId="77777777" w:rsidR="00BD50E5" w:rsidRDefault="00BD50E5" w:rsidP="0078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0384" w14:textId="77777777" w:rsidR="00026C50" w:rsidRDefault="00026C50" w:rsidP="003421DF">
    <w:pPr>
      <w:tabs>
        <w:tab w:val="left" w:pos="5895"/>
      </w:tabs>
      <w:spacing w:line="276" w:lineRule="auto"/>
      <w:rPr>
        <w:b/>
        <w:color w:val="FF0000"/>
      </w:rPr>
    </w:pPr>
    <w:r w:rsidRPr="003B0234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D568518" wp14:editId="4B3C8FA2">
          <wp:simplePos x="0" y="0"/>
          <wp:positionH relativeFrom="margin">
            <wp:posOffset>605790</wp:posOffset>
          </wp:positionH>
          <wp:positionV relativeFrom="paragraph">
            <wp:posOffset>84455</wp:posOffset>
          </wp:positionV>
          <wp:extent cx="1162050" cy="69088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5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1DF">
      <w:rPr>
        <w:b/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5F103E" wp14:editId="72FF04EB">
              <wp:simplePos x="0" y="0"/>
              <wp:positionH relativeFrom="column">
                <wp:posOffset>-1899285</wp:posOffset>
              </wp:positionH>
              <wp:positionV relativeFrom="paragraph">
                <wp:posOffset>462280</wp:posOffset>
              </wp:positionV>
              <wp:extent cx="8792845" cy="284480"/>
              <wp:effectExtent l="0" t="0" r="8255" b="1270"/>
              <wp:wrapNone/>
              <wp:docPr id="4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92845" cy="2844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  <a:lumOff val="0"/>
                              <a:gamma/>
                              <a:tint val="20000"/>
                              <a:invGamma/>
                            </a:schemeClr>
                          </a:gs>
                          <a:gs pos="100000">
                            <a:schemeClr val="bg1">
                              <a:lumMod val="85000"/>
                              <a:lumOff val="0"/>
                            </a:schemeClr>
                          </a:gs>
                        </a:gsLst>
                        <a:lin ang="18900000" scaled="1"/>
                        <a:tileRect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C689209" id="Rectangle 11" o:spid="_x0000_s1026" style="position:absolute;margin-left:-149.55pt;margin-top:36.4pt;width:692.35pt;height:2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" fillcolor="#d8d8d8 [2732]" stroked="f">
              <v:fill color2="#d8d8d8 [2732]" rotate="t" angle="135" focus="100%" type="gradient"/>
            </v:rect>
          </w:pict>
        </mc:Fallback>
      </mc:AlternateContent>
    </w:r>
    <w:r w:rsidR="003421DF" w:rsidRPr="003421DF">
      <w:rPr>
        <w:b/>
        <w:noProof/>
        <w:color w:val="FF0000"/>
        <w:lang w:eastAsia="pt-BR"/>
      </w:rPr>
      <w:drawing>
        <wp:anchor distT="0" distB="0" distL="114300" distR="114300" simplePos="0" relativeHeight="251665408" behindDoc="0" locked="0" layoutInCell="1" allowOverlap="1" wp14:anchorId="3C6CA8E0" wp14:editId="2F977CCE">
          <wp:simplePos x="0" y="0"/>
          <wp:positionH relativeFrom="column">
            <wp:posOffset>4568190</wp:posOffset>
          </wp:positionH>
          <wp:positionV relativeFrom="paragraph">
            <wp:posOffset>273685</wp:posOffset>
          </wp:positionV>
          <wp:extent cx="1851470" cy="647367"/>
          <wp:effectExtent l="0" t="0" r="0" b="0"/>
          <wp:wrapNone/>
          <wp:docPr id="38" name="Imagem 38" descr="C:\Users\Renato\AppData\Local\Microsoft\Windows\INetCache\Content.Word\El-Banco-de-Desarrollo-de-América-Latina-C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Renato\AppData\Local\Microsoft\Windows\INetCache\Content.Word\El-Banco-de-Desarrollo-de-América-Latina-CA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470" cy="64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7B8" w:rsidRPr="008B2D15">
      <w:rPr>
        <w:b/>
        <w:noProof/>
        <w:color w:val="FF0000"/>
        <w:lang w:eastAsia="pt-BR"/>
      </w:rPr>
      <w:drawing>
        <wp:inline distT="0" distB="0" distL="0" distR="0" wp14:anchorId="619BC619" wp14:editId="300B9010">
          <wp:extent cx="606974" cy="742950"/>
          <wp:effectExtent l="0" t="0" r="3175" b="0"/>
          <wp:docPr id="23" name="Imagem 23" descr="C:\Users\ugpca\Documents\JFRJ 0810735-07.2011.4.02.5101\Brasão PM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gpca\Documents\JFRJ 0810735-07.2011.4.02.5101\Brasão PM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75" cy="74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1DF">
      <w:rPr>
        <w:b/>
        <w:color w:val="FF0000"/>
      </w:rPr>
      <w:tab/>
    </w:r>
  </w:p>
  <w:p w14:paraId="7762A29C" w14:textId="77777777" w:rsidR="00783992" w:rsidRDefault="00783992" w:rsidP="00026C50">
    <w:pPr>
      <w:tabs>
        <w:tab w:val="left" w:pos="2565"/>
      </w:tabs>
      <w:spacing w:line="276" w:lineRule="auto"/>
      <w:rPr>
        <w:b/>
        <w:color w:val="FF0000"/>
      </w:rPr>
    </w:pPr>
  </w:p>
  <w:p w14:paraId="1E053BB3" w14:textId="77777777" w:rsidR="00026C50" w:rsidRPr="00026C50" w:rsidRDefault="00026C50" w:rsidP="00026C50">
    <w:pPr>
      <w:spacing w:after="0" w:line="276" w:lineRule="auto"/>
      <w:jc w:val="center"/>
      <w:rPr>
        <w:rFonts w:ascii="Times New Roman" w:eastAsia="Times New Roman" w:hAnsi="Times New Roman" w:cs="Times New Roman"/>
        <w:b/>
        <w:lang w:eastAsia="pt-BR"/>
      </w:rPr>
    </w:pPr>
    <w:r w:rsidRPr="00026C50">
      <w:rPr>
        <w:rFonts w:ascii="Times New Roman" w:eastAsia="Times New Roman" w:hAnsi="Times New Roman" w:cs="Times New Roman"/>
        <w:b/>
        <w:lang w:val="x-none" w:eastAsia="pt-BR"/>
      </w:rPr>
      <w:t xml:space="preserve">SECRETARIA </w:t>
    </w:r>
    <w:r w:rsidR="0054234A">
      <w:rPr>
        <w:rFonts w:ascii="Times New Roman" w:eastAsia="Times New Roman" w:hAnsi="Times New Roman" w:cs="Times New Roman"/>
        <w:b/>
        <w:lang w:eastAsia="pt-BR"/>
      </w:rPr>
      <w:t>DE OBRAS E INFRAESTRUTURA</w:t>
    </w:r>
  </w:p>
  <w:p w14:paraId="49D013C6" w14:textId="77777777" w:rsidR="00026C50" w:rsidRDefault="00026C50" w:rsidP="00026C50">
    <w:pPr>
      <w:spacing w:after="0" w:line="276" w:lineRule="auto"/>
      <w:jc w:val="center"/>
      <w:rPr>
        <w:rFonts w:ascii="Times New Roman" w:eastAsia="Times New Roman" w:hAnsi="Times New Roman" w:cs="Times New Roman"/>
        <w:b/>
        <w:lang w:eastAsia="pt-BR"/>
      </w:rPr>
    </w:pPr>
    <w:r w:rsidRPr="00026C50">
      <w:rPr>
        <w:rFonts w:ascii="Times New Roman" w:eastAsia="Times New Roman" w:hAnsi="Times New Roman" w:cs="Times New Roman"/>
        <w:b/>
        <w:lang w:val="x-none" w:eastAsia="pt-BR"/>
      </w:rPr>
      <w:t>UGP – CAF</w:t>
    </w:r>
  </w:p>
  <w:p w14:paraId="4E937349" w14:textId="77777777" w:rsidR="00026C50" w:rsidRPr="00026C50" w:rsidRDefault="00026C50" w:rsidP="00026C50">
    <w:pPr>
      <w:spacing w:after="0" w:line="276" w:lineRule="auto"/>
      <w:jc w:val="center"/>
      <w:rPr>
        <w:rFonts w:ascii="Times New Roman" w:eastAsia="Times New Roman" w:hAnsi="Times New Roman" w:cs="Times New Roman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39C"/>
    <w:multiLevelType w:val="hybridMultilevel"/>
    <w:tmpl w:val="2E667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664"/>
    <w:multiLevelType w:val="hybridMultilevel"/>
    <w:tmpl w:val="53C41676"/>
    <w:lvl w:ilvl="0" w:tplc="20A0032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7256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1F790B44"/>
    <w:multiLevelType w:val="hybridMultilevel"/>
    <w:tmpl w:val="ABB2652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980A4B"/>
    <w:multiLevelType w:val="hybridMultilevel"/>
    <w:tmpl w:val="48487FE6"/>
    <w:lvl w:ilvl="0" w:tplc="FFFFFFFF">
      <w:start w:val="1"/>
      <w:numFmt w:val="bullet"/>
      <w:pStyle w:val="MARCADOR1Char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562"/>
        </w:tabs>
        <w:ind w:left="-5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8"/>
        </w:tabs>
        <w:ind w:left="15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</w:abstractNum>
  <w:abstractNum w:abstractNumId="5" w15:restartNumberingAfterBreak="0">
    <w:nsid w:val="41D304C8"/>
    <w:multiLevelType w:val="hybridMultilevel"/>
    <w:tmpl w:val="453C965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5D067A"/>
    <w:multiLevelType w:val="hybridMultilevel"/>
    <w:tmpl w:val="134A849E"/>
    <w:lvl w:ilvl="0" w:tplc="1AC42B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3D11B7"/>
    <w:multiLevelType w:val="hybridMultilevel"/>
    <w:tmpl w:val="E33E4B8A"/>
    <w:lvl w:ilvl="0" w:tplc="1B40C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352F5"/>
    <w:multiLevelType w:val="hybridMultilevel"/>
    <w:tmpl w:val="BC2099EA"/>
    <w:lvl w:ilvl="0" w:tplc="245E6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4AE"/>
    <w:multiLevelType w:val="hybridMultilevel"/>
    <w:tmpl w:val="5CA22EF4"/>
    <w:lvl w:ilvl="0" w:tplc="9042DD96">
      <w:start w:val="1"/>
      <w:numFmt w:val="lowerLetter"/>
      <w:lvlText w:val="%1)"/>
      <w:lvlJc w:val="left"/>
      <w:pPr>
        <w:ind w:left="1069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26140B"/>
    <w:multiLevelType w:val="hybridMultilevel"/>
    <w:tmpl w:val="1B7A64B4"/>
    <w:lvl w:ilvl="0" w:tplc="A9CEF944">
      <w:start w:val="12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BC1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CF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C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8E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62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60F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4C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94D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F32CB6"/>
    <w:multiLevelType w:val="hybridMultilevel"/>
    <w:tmpl w:val="1B6A04C4"/>
    <w:lvl w:ilvl="0" w:tplc="1E4CD42C">
      <w:start w:val="1"/>
      <w:numFmt w:val="lowerLetter"/>
      <w:lvlText w:val="%1)"/>
      <w:lvlJc w:val="left"/>
      <w:pPr>
        <w:ind w:left="1069" w:hanging="360"/>
      </w:pPr>
      <w:rPr>
        <w:rFonts w:hint="default"/>
        <w:lang w:val="x-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3E1F17"/>
    <w:multiLevelType w:val="hybridMultilevel"/>
    <w:tmpl w:val="D29AD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B"/>
    <w:rsid w:val="00001540"/>
    <w:rsid w:val="00001714"/>
    <w:rsid w:val="000036FE"/>
    <w:rsid w:val="00007818"/>
    <w:rsid w:val="00021383"/>
    <w:rsid w:val="00024124"/>
    <w:rsid w:val="00026C50"/>
    <w:rsid w:val="000311C8"/>
    <w:rsid w:val="000346EA"/>
    <w:rsid w:val="00034C3B"/>
    <w:rsid w:val="0003506B"/>
    <w:rsid w:val="00037042"/>
    <w:rsid w:val="00042554"/>
    <w:rsid w:val="000441DC"/>
    <w:rsid w:val="00044B8E"/>
    <w:rsid w:val="0005183C"/>
    <w:rsid w:val="00051BE1"/>
    <w:rsid w:val="00056B64"/>
    <w:rsid w:val="000657CB"/>
    <w:rsid w:val="00067660"/>
    <w:rsid w:val="00082FE7"/>
    <w:rsid w:val="00090DCC"/>
    <w:rsid w:val="000A68D4"/>
    <w:rsid w:val="000B1E7B"/>
    <w:rsid w:val="000B6519"/>
    <w:rsid w:val="000B775D"/>
    <w:rsid w:val="000C7642"/>
    <w:rsid w:val="000D21BD"/>
    <w:rsid w:val="000D6A96"/>
    <w:rsid w:val="000E3B79"/>
    <w:rsid w:val="000E3F1B"/>
    <w:rsid w:val="000E7F2B"/>
    <w:rsid w:val="000E7FBA"/>
    <w:rsid w:val="000F0DA4"/>
    <w:rsid w:val="000F36AA"/>
    <w:rsid w:val="00101213"/>
    <w:rsid w:val="001150AF"/>
    <w:rsid w:val="001251E2"/>
    <w:rsid w:val="00127595"/>
    <w:rsid w:val="0013583C"/>
    <w:rsid w:val="00143EBB"/>
    <w:rsid w:val="00145047"/>
    <w:rsid w:val="00155A0F"/>
    <w:rsid w:val="00161A05"/>
    <w:rsid w:val="00167C73"/>
    <w:rsid w:val="00184B6D"/>
    <w:rsid w:val="00185BB6"/>
    <w:rsid w:val="001A6A5C"/>
    <w:rsid w:val="001B191A"/>
    <w:rsid w:val="001C0FFA"/>
    <w:rsid w:val="001C2936"/>
    <w:rsid w:val="001C7636"/>
    <w:rsid w:val="001F225B"/>
    <w:rsid w:val="001F5CF0"/>
    <w:rsid w:val="001F7C11"/>
    <w:rsid w:val="00207CAD"/>
    <w:rsid w:val="0021110F"/>
    <w:rsid w:val="00221009"/>
    <w:rsid w:val="00222F89"/>
    <w:rsid w:val="002317C9"/>
    <w:rsid w:val="00243962"/>
    <w:rsid w:val="00246018"/>
    <w:rsid w:val="00247171"/>
    <w:rsid w:val="00260B0A"/>
    <w:rsid w:val="00290654"/>
    <w:rsid w:val="00291CC5"/>
    <w:rsid w:val="00293A62"/>
    <w:rsid w:val="002948CD"/>
    <w:rsid w:val="00297136"/>
    <w:rsid w:val="002A0794"/>
    <w:rsid w:val="002A1329"/>
    <w:rsid w:val="002A33BC"/>
    <w:rsid w:val="002A3B00"/>
    <w:rsid w:val="002A68E5"/>
    <w:rsid w:val="002B29B0"/>
    <w:rsid w:val="002B618F"/>
    <w:rsid w:val="002D1906"/>
    <w:rsid w:val="002D4347"/>
    <w:rsid w:val="002D7BD9"/>
    <w:rsid w:val="002E0625"/>
    <w:rsid w:val="002E0E38"/>
    <w:rsid w:val="002F7289"/>
    <w:rsid w:val="002F7523"/>
    <w:rsid w:val="00300121"/>
    <w:rsid w:val="00300FFA"/>
    <w:rsid w:val="0030583A"/>
    <w:rsid w:val="00313B4C"/>
    <w:rsid w:val="0031424B"/>
    <w:rsid w:val="0034121F"/>
    <w:rsid w:val="003421DF"/>
    <w:rsid w:val="0035063F"/>
    <w:rsid w:val="00350683"/>
    <w:rsid w:val="00352E51"/>
    <w:rsid w:val="003604FB"/>
    <w:rsid w:val="003727BF"/>
    <w:rsid w:val="00372DB1"/>
    <w:rsid w:val="00375603"/>
    <w:rsid w:val="00377363"/>
    <w:rsid w:val="00380F2F"/>
    <w:rsid w:val="00384B3F"/>
    <w:rsid w:val="00397F6A"/>
    <w:rsid w:val="003A136B"/>
    <w:rsid w:val="003A4BC8"/>
    <w:rsid w:val="003B0234"/>
    <w:rsid w:val="003B1472"/>
    <w:rsid w:val="003B1ACB"/>
    <w:rsid w:val="003B599A"/>
    <w:rsid w:val="003D4B65"/>
    <w:rsid w:val="003D4D4D"/>
    <w:rsid w:val="003D6395"/>
    <w:rsid w:val="003E6343"/>
    <w:rsid w:val="003F0DE3"/>
    <w:rsid w:val="003F799F"/>
    <w:rsid w:val="003F7B08"/>
    <w:rsid w:val="0040124B"/>
    <w:rsid w:val="00402513"/>
    <w:rsid w:val="00402F8F"/>
    <w:rsid w:val="0041241A"/>
    <w:rsid w:val="00415ACD"/>
    <w:rsid w:val="0042189B"/>
    <w:rsid w:val="004250D3"/>
    <w:rsid w:val="004376D0"/>
    <w:rsid w:val="00440DC9"/>
    <w:rsid w:val="00445C8B"/>
    <w:rsid w:val="00446E71"/>
    <w:rsid w:val="00457E43"/>
    <w:rsid w:val="0047786C"/>
    <w:rsid w:val="00482C83"/>
    <w:rsid w:val="00483F07"/>
    <w:rsid w:val="004848B5"/>
    <w:rsid w:val="00494A2A"/>
    <w:rsid w:val="004A3000"/>
    <w:rsid w:val="004A36D4"/>
    <w:rsid w:val="004C0B3C"/>
    <w:rsid w:val="004C155D"/>
    <w:rsid w:val="004F49F5"/>
    <w:rsid w:val="00507323"/>
    <w:rsid w:val="00510096"/>
    <w:rsid w:val="00515DE5"/>
    <w:rsid w:val="005255B7"/>
    <w:rsid w:val="00525A24"/>
    <w:rsid w:val="00536E54"/>
    <w:rsid w:val="0054106E"/>
    <w:rsid w:val="0054234A"/>
    <w:rsid w:val="00570810"/>
    <w:rsid w:val="00592679"/>
    <w:rsid w:val="00592FB0"/>
    <w:rsid w:val="005A08A8"/>
    <w:rsid w:val="005A4A36"/>
    <w:rsid w:val="005B065C"/>
    <w:rsid w:val="005C22F9"/>
    <w:rsid w:val="005C2701"/>
    <w:rsid w:val="005C5813"/>
    <w:rsid w:val="005D302F"/>
    <w:rsid w:val="005E3579"/>
    <w:rsid w:val="005E527F"/>
    <w:rsid w:val="005F42D9"/>
    <w:rsid w:val="005F7B29"/>
    <w:rsid w:val="00612711"/>
    <w:rsid w:val="00632C1E"/>
    <w:rsid w:val="00634767"/>
    <w:rsid w:val="0064060C"/>
    <w:rsid w:val="00644A31"/>
    <w:rsid w:val="00653956"/>
    <w:rsid w:val="00654BB2"/>
    <w:rsid w:val="00657993"/>
    <w:rsid w:val="00672B76"/>
    <w:rsid w:val="006776EE"/>
    <w:rsid w:val="00681AEE"/>
    <w:rsid w:val="00683AC6"/>
    <w:rsid w:val="00684F79"/>
    <w:rsid w:val="0068777A"/>
    <w:rsid w:val="00694DB7"/>
    <w:rsid w:val="00695135"/>
    <w:rsid w:val="006958B2"/>
    <w:rsid w:val="006B56C7"/>
    <w:rsid w:val="006B692B"/>
    <w:rsid w:val="006D284A"/>
    <w:rsid w:val="006D46FF"/>
    <w:rsid w:val="006E1386"/>
    <w:rsid w:val="006E3BC9"/>
    <w:rsid w:val="006F55A9"/>
    <w:rsid w:val="007160C2"/>
    <w:rsid w:val="007241C5"/>
    <w:rsid w:val="00740F65"/>
    <w:rsid w:val="00741C6D"/>
    <w:rsid w:val="007425C4"/>
    <w:rsid w:val="00746F34"/>
    <w:rsid w:val="0075148B"/>
    <w:rsid w:val="007570C5"/>
    <w:rsid w:val="00757A8F"/>
    <w:rsid w:val="007610B1"/>
    <w:rsid w:val="00761384"/>
    <w:rsid w:val="00761E3F"/>
    <w:rsid w:val="00770A20"/>
    <w:rsid w:val="00783992"/>
    <w:rsid w:val="00786BDF"/>
    <w:rsid w:val="00790A4A"/>
    <w:rsid w:val="00797BAC"/>
    <w:rsid w:val="007A524A"/>
    <w:rsid w:val="007B090D"/>
    <w:rsid w:val="007B5014"/>
    <w:rsid w:val="007B5549"/>
    <w:rsid w:val="007B6000"/>
    <w:rsid w:val="007B6154"/>
    <w:rsid w:val="007C12EC"/>
    <w:rsid w:val="007C7449"/>
    <w:rsid w:val="007C760B"/>
    <w:rsid w:val="007D1A6B"/>
    <w:rsid w:val="007D33DF"/>
    <w:rsid w:val="007D50BC"/>
    <w:rsid w:val="007E536A"/>
    <w:rsid w:val="007E64E9"/>
    <w:rsid w:val="007F28E6"/>
    <w:rsid w:val="00805DC2"/>
    <w:rsid w:val="00806DE2"/>
    <w:rsid w:val="00814B3F"/>
    <w:rsid w:val="00822112"/>
    <w:rsid w:val="00822A65"/>
    <w:rsid w:val="008269D3"/>
    <w:rsid w:val="00827AF8"/>
    <w:rsid w:val="00832235"/>
    <w:rsid w:val="00835228"/>
    <w:rsid w:val="008361FD"/>
    <w:rsid w:val="00836B42"/>
    <w:rsid w:val="00836F01"/>
    <w:rsid w:val="008373AE"/>
    <w:rsid w:val="00844F60"/>
    <w:rsid w:val="00855E17"/>
    <w:rsid w:val="0085680A"/>
    <w:rsid w:val="00861E09"/>
    <w:rsid w:val="00874691"/>
    <w:rsid w:val="00882C0D"/>
    <w:rsid w:val="00897EAF"/>
    <w:rsid w:val="008A3695"/>
    <w:rsid w:val="008B0085"/>
    <w:rsid w:val="008C3EB0"/>
    <w:rsid w:val="008D7B1A"/>
    <w:rsid w:val="008F2212"/>
    <w:rsid w:val="008F5844"/>
    <w:rsid w:val="008F6FCF"/>
    <w:rsid w:val="009040F3"/>
    <w:rsid w:val="00920E6F"/>
    <w:rsid w:val="00930CD6"/>
    <w:rsid w:val="00935DDD"/>
    <w:rsid w:val="009472D0"/>
    <w:rsid w:val="00950A1F"/>
    <w:rsid w:val="00971FB6"/>
    <w:rsid w:val="009727B8"/>
    <w:rsid w:val="00984AAA"/>
    <w:rsid w:val="009874EB"/>
    <w:rsid w:val="00990B39"/>
    <w:rsid w:val="009953A5"/>
    <w:rsid w:val="009971FE"/>
    <w:rsid w:val="009A5255"/>
    <w:rsid w:val="009B11CC"/>
    <w:rsid w:val="009C0EE4"/>
    <w:rsid w:val="009D0B36"/>
    <w:rsid w:val="009D54C1"/>
    <w:rsid w:val="009D54EF"/>
    <w:rsid w:val="009E1B1C"/>
    <w:rsid w:val="009E6657"/>
    <w:rsid w:val="009F4530"/>
    <w:rsid w:val="00A148C3"/>
    <w:rsid w:val="00A4498E"/>
    <w:rsid w:val="00A45963"/>
    <w:rsid w:val="00A51483"/>
    <w:rsid w:val="00A53582"/>
    <w:rsid w:val="00A65F31"/>
    <w:rsid w:val="00A91BC0"/>
    <w:rsid w:val="00A97C75"/>
    <w:rsid w:val="00AB048D"/>
    <w:rsid w:val="00AB7480"/>
    <w:rsid w:val="00AC083A"/>
    <w:rsid w:val="00AC08DD"/>
    <w:rsid w:val="00AD623F"/>
    <w:rsid w:val="00AE57DE"/>
    <w:rsid w:val="00AE7F6B"/>
    <w:rsid w:val="00AF59AA"/>
    <w:rsid w:val="00B03086"/>
    <w:rsid w:val="00B04558"/>
    <w:rsid w:val="00B106C0"/>
    <w:rsid w:val="00B107F8"/>
    <w:rsid w:val="00B14669"/>
    <w:rsid w:val="00B1600F"/>
    <w:rsid w:val="00B1617B"/>
    <w:rsid w:val="00B262F4"/>
    <w:rsid w:val="00B339C2"/>
    <w:rsid w:val="00B37301"/>
    <w:rsid w:val="00B44C8C"/>
    <w:rsid w:val="00B468A1"/>
    <w:rsid w:val="00B54FB7"/>
    <w:rsid w:val="00B55C81"/>
    <w:rsid w:val="00B57DB8"/>
    <w:rsid w:val="00B64D0B"/>
    <w:rsid w:val="00B668C9"/>
    <w:rsid w:val="00B67041"/>
    <w:rsid w:val="00B76291"/>
    <w:rsid w:val="00B8448C"/>
    <w:rsid w:val="00B867B5"/>
    <w:rsid w:val="00B93B0D"/>
    <w:rsid w:val="00B970D9"/>
    <w:rsid w:val="00BA7E1F"/>
    <w:rsid w:val="00BB4D9F"/>
    <w:rsid w:val="00BC365B"/>
    <w:rsid w:val="00BC422B"/>
    <w:rsid w:val="00BD50E5"/>
    <w:rsid w:val="00BE07F8"/>
    <w:rsid w:val="00BE6C59"/>
    <w:rsid w:val="00C07BC9"/>
    <w:rsid w:val="00C10183"/>
    <w:rsid w:val="00C11433"/>
    <w:rsid w:val="00C14CB1"/>
    <w:rsid w:val="00C2269F"/>
    <w:rsid w:val="00C310A0"/>
    <w:rsid w:val="00C34BF8"/>
    <w:rsid w:val="00C44915"/>
    <w:rsid w:val="00C51004"/>
    <w:rsid w:val="00C5297D"/>
    <w:rsid w:val="00C54D77"/>
    <w:rsid w:val="00C6088F"/>
    <w:rsid w:val="00C729A5"/>
    <w:rsid w:val="00CB02D7"/>
    <w:rsid w:val="00CB5266"/>
    <w:rsid w:val="00CD2B63"/>
    <w:rsid w:val="00CD602E"/>
    <w:rsid w:val="00CD68D2"/>
    <w:rsid w:val="00CD7C91"/>
    <w:rsid w:val="00CE1222"/>
    <w:rsid w:val="00D10723"/>
    <w:rsid w:val="00D10B80"/>
    <w:rsid w:val="00D12049"/>
    <w:rsid w:val="00D14B90"/>
    <w:rsid w:val="00D20908"/>
    <w:rsid w:val="00D26398"/>
    <w:rsid w:val="00D3169D"/>
    <w:rsid w:val="00D3383C"/>
    <w:rsid w:val="00D46F22"/>
    <w:rsid w:val="00D50BFE"/>
    <w:rsid w:val="00D50F88"/>
    <w:rsid w:val="00D55000"/>
    <w:rsid w:val="00D64257"/>
    <w:rsid w:val="00D73591"/>
    <w:rsid w:val="00D756AF"/>
    <w:rsid w:val="00D8113B"/>
    <w:rsid w:val="00DA36F5"/>
    <w:rsid w:val="00DA7827"/>
    <w:rsid w:val="00DB2F6C"/>
    <w:rsid w:val="00DB5CE1"/>
    <w:rsid w:val="00DC1587"/>
    <w:rsid w:val="00DC3A41"/>
    <w:rsid w:val="00DC7FE5"/>
    <w:rsid w:val="00DD4A2F"/>
    <w:rsid w:val="00DE343C"/>
    <w:rsid w:val="00DE3E92"/>
    <w:rsid w:val="00DE70D1"/>
    <w:rsid w:val="00DE7BFE"/>
    <w:rsid w:val="00DF1972"/>
    <w:rsid w:val="00DF2D88"/>
    <w:rsid w:val="00E069A0"/>
    <w:rsid w:val="00E125B1"/>
    <w:rsid w:val="00E12BD2"/>
    <w:rsid w:val="00E24388"/>
    <w:rsid w:val="00E3000F"/>
    <w:rsid w:val="00E52605"/>
    <w:rsid w:val="00E86BD6"/>
    <w:rsid w:val="00E90169"/>
    <w:rsid w:val="00EA4E8D"/>
    <w:rsid w:val="00EB1388"/>
    <w:rsid w:val="00EB1FE9"/>
    <w:rsid w:val="00EB28BA"/>
    <w:rsid w:val="00EB56DC"/>
    <w:rsid w:val="00ED22B2"/>
    <w:rsid w:val="00ED6E35"/>
    <w:rsid w:val="00EE14D6"/>
    <w:rsid w:val="00EE1AD0"/>
    <w:rsid w:val="00EE5E54"/>
    <w:rsid w:val="00F01012"/>
    <w:rsid w:val="00F05AF7"/>
    <w:rsid w:val="00F11FEE"/>
    <w:rsid w:val="00F15574"/>
    <w:rsid w:val="00F23967"/>
    <w:rsid w:val="00F245B5"/>
    <w:rsid w:val="00F309FC"/>
    <w:rsid w:val="00F41970"/>
    <w:rsid w:val="00F41A07"/>
    <w:rsid w:val="00F50803"/>
    <w:rsid w:val="00F51354"/>
    <w:rsid w:val="00F56D6D"/>
    <w:rsid w:val="00F62B6E"/>
    <w:rsid w:val="00F660A6"/>
    <w:rsid w:val="00F67B73"/>
    <w:rsid w:val="00F908FE"/>
    <w:rsid w:val="00FA39FF"/>
    <w:rsid w:val="00FB2666"/>
    <w:rsid w:val="00FB26E2"/>
    <w:rsid w:val="00FB2736"/>
    <w:rsid w:val="00FC229A"/>
    <w:rsid w:val="00FC641C"/>
    <w:rsid w:val="00FC6CBC"/>
    <w:rsid w:val="00FD2F28"/>
    <w:rsid w:val="00FD31BE"/>
    <w:rsid w:val="00FE49CB"/>
    <w:rsid w:val="00FE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FD7B75"/>
  <w15:docId w15:val="{9BCB7264-6A12-4EC3-8E8A-07DE6E7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962"/>
  </w:style>
  <w:style w:type="paragraph" w:styleId="Ttulo1">
    <w:name w:val="heading 1"/>
    <w:basedOn w:val="Normal"/>
    <w:next w:val="Normal"/>
    <w:link w:val="Ttulo1Char"/>
    <w:qFormat/>
    <w:rsid w:val="00145047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67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F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3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992"/>
  </w:style>
  <w:style w:type="paragraph" w:styleId="Rodap">
    <w:name w:val="footer"/>
    <w:basedOn w:val="Normal"/>
    <w:link w:val="RodapChar"/>
    <w:uiPriority w:val="99"/>
    <w:unhideWhenUsed/>
    <w:rsid w:val="007839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992"/>
  </w:style>
  <w:style w:type="paragraph" w:styleId="Corpodetexto">
    <w:name w:val="Body Text"/>
    <w:basedOn w:val="Normal"/>
    <w:link w:val="CorpodetextoChar"/>
    <w:uiPriority w:val="99"/>
    <w:rsid w:val="00044B8E"/>
    <w:pPr>
      <w:spacing w:after="0" w:line="240" w:lineRule="auto"/>
      <w:jc w:val="both"/>
    </w:pPr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4B8E"/>
    <w:rPr>
      <w:rFonts w:ascii="Times New Roman" w:eastAsia="MS ??" w:hAnsi="Times New Roman" w:cs="Times New Roman"/>
      <w:snapToGrid w:val="0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unhideWhenUsed/>
    <w:rsid w:val="008361F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45047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rsid w:val="0002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6C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026C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Refdenotaderodap">
    <w:name w:val="footnote reference"/>
    <w:uiPriority w:val="99"/>
    <w:rsid w:val="00026C50"/>
    <w:rPr>
      <w:vertAlign w:val="superscript"/>
    </w:rPr>
  </w:style>
  <w:style w:type="paragraph" w:customStyle="1" w:styleId="Normal1">
    <w:name w:val="Normal1"/>
    <w:rsid w:val="00770A20"/>
    <w:pPr>
      <w:spacing w:after="200" w:line="276" w:lineRule="auto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MARCADOR1Char">
    <w:name w:val="MARCADOR 1 Char"/>
    <w:basedOn w:val="Normal"/>
    <w:rsid w:val="00A4498E"/>
    <w:pPr>
      <w:numPr>
        <w:numId w:val="9"/>
      </w:numPr>
      <w:spacing w:before="60"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Default">
    <w:name w:val="Default"/>
    <w:rsid w:val="00FB2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rpo">
    <w:name w:val="corpo"/>
    <w:basedOn w:val="Normal"/>
    <w:rsid w:val="0034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3CC7B-8111-4DE2-899E-009F4F58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1174</Words>
  <Characters>6343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ugpca</dc:creator>
  <cp:lastModifiedBy>Concyr Formiga Bernardes</cp:lastModifiedBy>
  <cp:revision>5</cp:revision>
  <cp:lastPrinted>2021-07-02T10:12:00Z</cp:lastPrinted>
  <dcterms:created xsi:type="dcterms:W3CDTF">2021-07-02T10:13:00Z</dcterms:created>
  <dcterms:modified xsi:type="dcterms:W3CDTF">2021-07-02T10:41:00Z</dcterms:modified>
</cp:coreProperties>
</file>